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654" w:rsidRDefault="00F97CAD" w:rsidP="00F97CAD">
      <w:pPr>
        <w:jc w:val="center"/>
        <w:rPr>
          <w:b/>
          <w:sz w:val="28"/>
          <w:szCs w:val="28"/>
        </w:rPr>
      </w:pPr>
      <w:bookmarkStart w:id="0" w:name="_GoBack"/>
      <w:bookmarkEnd w:id="0"/>
      <w:r w:rsidRPr="00F97CAD">
        <w:rPr>
          <w:b/>
          <w:sz w:val="28"/>
          <w:szCs w:val="28"/>
        </w:rPr>
        <w:t xml:space="preserve">Note EPRIST </w:t>
      </w:r>
      <w:r w:rsidR="00726784">
        <w:rPr>
          <w:b/>
          <w:sz w:val="28"/>
          <w:szCs w:val="28"/>
        </w:rPr>
        <w:t>sur le text et data mining :</w:t>
      </w:r>
    </w:p>
    <w:p w:rsidR="00F97CAD" w:rsidRDefault="00726784" w:rsidP="00027654">
      <w:pPr>
        <w:jc w:val="center"/>
        <w:rPr>
          <w:b/>
          <w:sz w:val="28"/>
          <w:szCs w:val="28"/>
        </w:rPr>
      </w:pPr>
      <w:r>
        <w:rPr>
          <w:b/>
          <w:sz w:val="28"/>
          <w:szCs w:val="28"/>
        </w:rPr>
        <w:t>Le TDM</w:t>
      </w:r>
      <w:r w:rsidR="00F97CAD" w:rsidRPr="00F97CAD">
        <w:rPr>
          <w:b/>
          <w:sz w:val="28"/>
          <w:szCs w:val="28"/>
        </w:rPr>
        <w:t xml:space="preserve"> </w:t>
      </w:r>
      <w:r w:rsidR="00027654">
        <w:rPr>
          <w:b/>
          <w:sz w:val="28"/>
          <w:szCs w:val="28"/>
        </w:rPr>
        <w:t>c</w:t>
      </w:r>
      <w:r w:rsidR="00F97CAD" w:rsidRPr="00F97CAD">
        <w:rPr>
          <w:b/>
          <w:sz w:val="28"/>
          <w:szCs w:val="28"/>
        </w:rPr>
        <w:t xml:space="preserve">omme outil </w:t>
      </w:r>
      <w:r>
        <w:rPr>
          <w:b/>
          <w:sz w:val="28"/>
          <w:szCs w:val="28"/>
        </w:rPr>
        <w:t xml:space="preserve">innovant </w:t>
      </w:r>
      <w:r w:rsidR="00F97CAD" w:rsidRPr="00F97CAD">
        <w:rPr>
          <w:b/>
          <w:sz w:val="28"/>
          <w:szCs w:val="28"/>
        </w:rPr>
        <w:t xml:space="preserve">de recherche scientifique </w:t>
      </w:r>
    </w:p>
    <w:p w:rsidR="00F97CAD" w:rsidRDefault="00F97CAD" w:rsidP="00526DFB">
      <w:pPr>
        <w:spacing w:afterLines="200" w:after="480" w:line="240" w:lineRule="auto"/>
        <w:jc w:val="center"/>
        <w:rPr>
          <w:b/>
          <w:sz w:val="28"/>
          <w:szCs w:val="28"/>
        </w:rPr>
      </w:pPr>
    </w:p>
    <w:p w:rsidR="00F97CAD" w:rsidRDefault="00F97CAD" w:rsidP="005F46AE">
      <w:pPr>
        <w:spacing w:afterLines="20" w:after="48" w:line="240" w:lineRule="auto"/>
        <w:jc w:val="both"/>
      </w:pPr>
      <w:r w:rsidRPr="00691981">
        <w:t xml:space="preserve">Dans le cadre de la préparation du projet de loi sur le numérique, EPRIST a rassemblé des exemples de pratiques au sein des équipes de recherche des organismes français de recherche, afin de montrer l’importance du TDM comme outil de traitement de données à des fins de recherche. </w:t>
      </w:r>
    </w:p>
    <w:p w:rsidR="005F46AE" w:rsidRPr="00691981" w:rsidRDefault="005F46AE" w:rsidP="005F46AE">
      <w:pPr>
        <w:spacing w:afterLines="20" w:after="48" w:line="240" w:lineRule="auto"/>
        <w:jc w:val="both"/>
      </w:pPr>
    </w:p>
    <w:p w:rsidR="00775308" w:rsidRDefault="00F97CAD" w:rsidP="005F46AE">
      <w:pPr>
        <w:spacing w:afterLines="20" w:after="48" w:line="240" w:lineRule="auto"/>
        <w:jc w:val="both"/>
      </w:pPr>
      <w:r w:rsidRPr="00691981">
        <w:t>Les échanges réalisés avec les scientifiques concernés à cette occasion on</w:t>
      </w:r>
      <w:r w:rsidR="00691981">
        <w:t>t</w:t>
      </w:r>
      <w:r w:rsidRPr="00691981">
        <w:t xml:space="preserve"> fait ressortir</w:t>
      </w:r>
      <w:r w:rsidR="00691981">
        <w:t xml:space="preserve"> les opportunités des usages de ces outils</w:t>
      </w:r>
      <w:r w:rsidR="007F2637">
        <w:t>, tout comme</w:t>
      </w:r>
      <w:r w:rsidRPr="00691981">
        <w:t xml:space="preserve"> les difficultés rencontrées par les chercheurs</w:t>
      </w:r>
      <w:r w:rsidR="00691981">
        <w:t xml:space="preserve"> (freins juridiques à l’usage </w:t>
      </w:r>
      <w:r w:rsidRPr="00691981">
        <w:t xml:space="preserve">du TDM </w:t>
      </w:r>
      <w:r w:rsidR="00691981">
        <w:t>en l’absence d’une exception pour les</w:t>
      </w:r>
      <w:r w:rsidRPr="00691981">
        <w:t xml:space="preserve"> travaux de recherche</w:t>
      </w:r>
      <w:r w:rsidR="00691981">
        <w:t>)</w:t>
      </w:r>
      <w:r w:rsidR="007F2637">
        <w:t>. Ces freins pénalisent</w:t>
      </w:r>
      <w:r w:rsidRPr="00691981">
        <w:t xml:space="preserve"> </w:t>
      </w:r>
      <w:r w:rsidR="007F2637">
        <w:t>actuellement</w:t>
      </w:r>
      <w:r w:rsidRPr="00691981">
        <w:t xml:space="preserve"> la France dan</w:t>
      </w:r>
      <w:r w:rsidR="00691981">
        <w:t>s la compétition internationale,</w:t>
      </w:r>
      <w:r w:rsidRPr="00691981">
        <w:t xml:space="preserve"> à l’</w:t>
      </w:r>
      <w:r w:rsidR="007F2637">
        <w:t xml:space="preserve">heure où la recherche </w:t>
      </w:r>
      <w:r w:rsidRPr="00691981">
        <w:t xml:space="preserve">est de plus en </w:t>
      </w:r>
      <w:r w:rsidR="007F2637">
        <w:t xml:space="preserve">plus </w:t>
      </w:r>
      <w:r w:rsidRPr="00691981">
        <w:t xml:space="preserve">évaluée sur </w:t>
      </w:r>
      <w:r w:rsidR="00613D2B" w:rsidRPr="00691981">
        <w:t xml:space="preserve">sa capacité à innover </w:t>
      </w:r>
      <w:r w:rsidRPr="00691981">
        <w:t>et</w:t>
      </w:r>
      <w:r w:rsidR="00613D2B" w:rsidRPr="00691981">
        <w:t>, plus généralement, sur</w:t>
      </w:r>
      <w:r w:rsidRPr="00691981">
        <w:t xml:space="preserve"> ses impacts sociétaux.</w:t>
      </w:r>
    </w:p>
    <w:p w:rsidR="00775308" w:rsidRPr="00775308" w:rsidRDefault="00775308" w:rsidP="00775308">
      <w:pPr>
        <w:spacing w:afterLines="100" w:after="240" w:line="240" w:lineRule="auto"/>
        <w:jc w:val="both"/>
      </w:pPr>
    </w:p>
    <w:p w:rsidR="00691981" w:rsidRPr="00691981" w:rsidRDefault="00B73B10" w:rsidP="00775308">
      <w:pPr>
        <w:spacing w:afterLines="100" w:after="240" w:line="240" w:lineRule="auto"/>
        <w:jc w:val="both"/>
        <w:rPr>
          <w:b/>
          <w:sz w:val="24"/>
          <w:szCs w:val="24"/>
        </w:rPr>
      </w:pPr>
      <w:r>
        <w:rPr>
          <w:b/>
          <w:sz w:val="24"/>
          <w:szCs w:val="24"/>
        </w:rPr>
        <w:t>Les p</w:t>
      </w:r>
      <w:r w:rsidRPr="00691981">
        <w:rPr>
          <w:b/>
          <w:sz w:val="24"/>
          <w:szCs w:val="24"/>
        </w:rPr>
        <w:t>ratiques</w:t>
      </w:r>
      <w:r>
        <w:rPr>
          <w:b/>
          <w:sz w:val="24"/>
          <w:szCs w:val="24"/>
        </w:rPr>
        <w:t xml:space="preserve"> actuelles </w:t>
      </w:r>
      <w:r w:rsidR="00691981">
        <w:rPr>
          <w:b/>
          <w:sz w:val="24"/>
          <w:szCs w:val="24"/>
        </w:rPr>
        <w:t>:</w:t>
      </w:r>
    </w:p>
    <w:p w:rsidR="00613D2B" w:rsidRDefault="00A85BD2" w:rsidP="005F46AE">
      <w:pPr>
        <w:pStyle w:val="Textebrut"/>
        <w:spacing w:afterLines="100" w:after="240"/>
        <w:jc w:val="both"/>
        <w:rPr>
          <w:szCs w:val="22"/>
        </w:rPr>
      </w:pPr>
      <w:r w:rsidRPr="00691981">
        <w:rPr>
          <w:szCs w:val="22"/>
        </w:rPr>
        <w:t xml:space="preserve">Les équipes de recherche développent partout </w:t>
      </w:r>
      <w:r w:rsidR="00613D2B" w:rsidRPr="00691981">
        <w:rPr>
          <w:szCs w:val="22"/>
        </w:rPr>
        <w:t>de nombreuses applications de TDM qui exploitent les textes intégraux d</w:t>
      </w:r>
      <w:r w:rsidR="00691981" w:rsidRPr="00691981">
        <w:rPr>
          <w:szCs w:val="22"/>
        </w:rPr>
        <w:t>'articles scientifiques dans leurs champs de recherche et dans les domaines connexes</w:t>
      </w:r>
      <w:r w:rsidR="00613D2B" w:rsidRPr="00691981">
        <w:rPr>
          <w:szCs w:val="22"/>
        </w:rPr>
        <w:t xml:space="preserve">. Certains </w:t>
      </w:r>
      <w:r w:rsidR="00691981" w:rsidRPr="00691981">
        <w:rPr>
          <w:szCs w:val="22"/>
        </w:rPr>
        <w:t xml:space="preserve">projets scientifiques basent </w:t>
      </w:r>
      <w:r w:rsidR="0098530F">
        <w:rPr>
          <w:szCs w:val="22"/>
        </w:rPr>
        <w:t xml:space="preserve">également </w:t>
      </w:r>
      <w:r w:rsidR="00691981" w:rsidRPr="00691981">
        <w:rPr>
          <w:szCs w:val="22"/>
        </w:rPr>
        <w:t xml:space="preserve">leurs travaux sur </w:t>
      </w:r>
      <w:r w:rsidR="00613D2B" w:rsidRPr="00691981">
        <w:rPr>
          <w:szCs w:val="22"/>
        </w:rPr>
        <w:t xml:space="preserve">des </w:t>
      </w:r>
      <w:r w:rsidR="00691981" w:rsidRPr="00691981">
        <w:rPr>
          <w:szCs w:val="22"/>
        </w:rPr>
        <w:t>traitements croisés de données bibliogra</w:t>
      </w:r>
      <w:r w:rsidR="0098530F">
        <w:rPr>
          <w:szCs w:val="22"/>
        </w:rPr>
        <w:t>phiques, de brevets</w:t>
      </w:r>
      <w:r w:rsidR="00691981" w:rsidRPr="00691981">
        <w:rPr>
          <w:szCs w:val="22"/>
        </w:rPr>
        <w:t>,</w:t>
      </w:r>
      <w:r w:rsidR="00613D2B" w:rsidRPr="00691981">
        <w:rPr>
          <w:szCs w:val="22"/>
        </w:rPr>
        <w:t xml:space="preserve"> </w:t>
      </w:r>
      <w:r w:rsidR="00691981" w:rsidRPr="00691981">
        <w:rPr>
          <w:szCs w:val="22"/>
        </w:rPr>
        <w:t>de</w:t>
      </w:r>
      <w:r w:rsidR="00613D2B" w:rsidRPr="00691981">
        <w:rPr>
          <w:szCs w:val="22"/>
        </w:rPr>
        <w:t xml:space="preserve"> magazines professionnels (</w:t>
      </w:r>
      <w:r w:rsidR="00691981" w:rsidRPr="00691981">
        <w:rPr>
          <w:szCs w:val="22"/>
        </w:rPr>
        <w:t>recherche finalisée), de la presse généraliste (liens sciences-société).</w:t>
      </w:r>
    </w:p>
    <w:p w:rsidR="0084038C" w:rsidRDefault="0098530F" w:rsidP="005F46AE">
      <w:pPr>
        <w:pStyle w:val="Textebrut"/>
        <w:spacing w:afterLines="100" w:after="240"/>
        <w:jc w:val="both"/>
        <w:rPr>
          <w:szCs w:val="22"/>
        </w:rPr>
      </w:pPr>
      <w:r>
        <w:rPr>
          <w:szCs w:val="22"/>
        </w:rPr>
        <w:t>De leur côté, les professionnels de l’information scientifique et techniques (IST)</w:t>
      </w:r>
      <w:r w:rsidRPr="00691981">
        <w:rPr>
          <w:szCs w:val="22"/>
        </w:rPr>
        <w:t xml:space="preserve"> </w:t>
      </w:r>
      <w:r w:rsidR="00B73B10">
        <w:rPr>
          <w:szCs w:val="22"/>
        </w:rPr>
        <w:t xml:space="preserve">utilisent le TDM dans le cadre </w:t>
      </w:r>
      <w:r w:rsidR="00B73B10" w:rsidRPr="00691981">
        <w:rPr>
          <w:szCs w:val="22"/>
        </w:rPr>
        <w:t>des services d’analyse de l’information à haute valeur ajoutée</w:t>
      </w:r>
      <w:r w:rsidR="00B73B10">
        <w:rPr>
          <w:szCs w:val="22"/>
        </w:rPr>
        <w:t>,</w:t>
      </w:r>
      <w:r w:rsidR="00B73B10" w:rsidRPr="00691981">
        <w:rPr>
          <w:szCs w:val="22"/>
        </w:rPr>
        <w:t xml:space="preserve"> </w:t>
      </w:r>
      <w:r w:rsidR="00B73B10">
        <w:rPr>
          <w:szCs w:val="22"/>
        </w:rPr>
        <w:t>réalisés pour les</w:t>
      </w:r>
      <w:r w:rsidR="00B73B10" w:rsidRPr="00691981">
        <w:rPr>
          <w:szCs w:val="22"/>
        </w:rPr>
        <w:t xml:space="preserve"> scientifiques</w:t>
      </w:r>
      <w:r w:rsidR="00B73B10">
        <w:rPr>
          <w:szCs w:val="22"/>
        </w:rPr>
        <w:t xml:space="preserve"> et les décideurs</w:t>
      </w:r>
      <w:r w:rsidR="00B73B10" w:rsidRPr="00691981">
        <w:rPr>
          <w:szCs w:val="22"/>
        </w:rPr>
        <w:t xml:space="preserve"> </w:t>
      </w:r>
      <w:r>
        <w:rPr>
          <w:szCs w:val="22"/>
        </w:rPr>
        <w:t>en appui à la stratégie scientifique de leur organisme</w:t>
      </w:r>
      <w:r w:rsidR="00B5491B">
        <w:rPr>
          <w:szCs w:val="22"/>
        </w:rPr>
        <w:t xml:space="preserve">, </w:t>
      </w:r>
      <w:r w:rsidR="00B73B10">
        <w:rPr>
          <w:szCs w:val="22"/>
        </w:rPr>
        <w:t>n</w:t>
      </w:r>
      <w:r w:rsidR="00027654">
        <w:rPr>
          <w:szCs w:val="22"/>
        </w:rPr>
        <w:t>otamment en amont des processus d’innovation et de valorisation économique.</w:t>
      </w:r>
    </w:p>
    <w:p w:rsidR="005F46AE" w:rsidRPr="005F46AE" w:rsidRDefault="00D36309" w:rsidP="005F46AE">
      <w:pPr>
        <w:pStyle w:val="Textebrut"/>
        <w:spacing w:afterLines="100" w:after="240"/>
        <w:jc w:val="both"/>
        <w:rPr>
          <w:bCs/>
        </w:rPr>
      </w:pPr>
      <w:r>
        <w:rPr>
          <w:bCs/>
          <w:szCs w:val="22"/>
        </w:rPr>
        <w:t xml:space="preserve">De fait, </w:t>
      </w:r>
      <w:r w:rsidRPr="00E850D2">
        <w:rPr>
          <w:bCs/>
        </w:rPr>
        <w:t>depuis toujours</w:t>
      </w:r>
      <w:r>
        <w:rPr>
          <w:bCs/>
        </w:rPr>
        <w:t xml:space="preserve">, </w:t>
      </w:r>
      <w:r>
        <w:rPr>
          <w:bCs/>
          <w:szCs w:val="22"/>
        </w:rPr>
        <w:t>l</w:t>
      </w:r>
      <w:r w:rsidR="0098530F" w:rsidRPr="00E850D2">
        <w:rPr>
          <w:bCs/>
          <w:szCs w:val="22"/>
        </w:rPr>
        <w:t>’analyse de</w:t>
      </w:r>
      <w:r w:rsidR="0098530F" w:rsidRPr="00E850D2">
        <w:rPr>
          <w:bCs/>
        </w:rPr>
        <w:t xml:space="preserve"> </w:t>
      </w:r>
      <w:r w:rsidR="0098530F" w:rsidRPr="00E850D2">
        <w:rPr>
          <w:bCs/>
          <w:szCs w:val="22"/>
        </w:rPr>
        <w:t xml:space="preserve">corpus de publications scientifiques, de références bibliographiques, </w:t>
      </w:r>
      <w:r>
        <w:rPr>
          <w:bCs/>
          <w:szCs w:val="22"/>
        </w:rPr>
        <w:t xml:space="preserve">ou </w:t>
      </w:r>
      <w:r w:rsidR="0098530F" w:rsidRPr="00E850D2">
        <w:rPr>
          <w:bCs/>
        </w:rPr>
        <w:t>de jeux de données de tous types</w:t>
      </w:r>
      <w:r>
        <w:rPr>
          <w:bCs/>
        </w:rPr>
        <w:t>,</w:t>
      </w:r>
      <w:r w:rsidR="0098530F" w:rsidRPr="00E850D2">
        <w:rPr>
          <w:bCs/>
        </w:rPr>
        <w:t xml:space="preserve"> est au cœur du métier </w:t>
      </w:r>
      <w:r>
        <w:rPr>
          <w:bCs/>
        </w:rPr>
        <w:t xml:space="preserve">et des pratiques </w:t>
      </w:r>
      <w:r w:rsidR="0098530F" w:rsidRPr="00E850D2">
        <w:rPr>
          <w:bCs/>
        </w:rPr>
        <w:t>de</w:t>
      </w:r>
      <w:r w:rsidR="00B73B10">
        <w:rPr>
          <w:bCs/>
        </w:rPr>
        <w:t>s</w:t>
      </w:r>
      <w:r w:rsidR="0098530F" w:rsidRPr="00E850D2">
        <w:rPr>
          <w:bCs/>
        </w:rPr>
        <w:t xml:space="preserve"> chercheur</w:t>
      </w:r>
      <w:r w:rsidR="00B73B10">
        <w:rPr>
          <w:bCs/>
        </w:rPr>
        <w:t>s</w:t>
      </w:r>
      <w:r w:rsidR="0098530F" w:rsidRPr="00E850D2">
        <w:rPr>
          <w:bCs/>
        </w:rPr>
        <w:t xml:space="preserve">. </w:t>
      </w:r>
      <w:r w:rsidR="00B73B10">
        <w:rPr>
          <w:bCs/>
        </w:rPr>
        <w:t xml:space="preserve">En premier lieu, ces analyses permettent </w:t>
      </w:r>
      <w:r>
        <w:rPr>
          <w:bCs/>
        </w:rPr>
        <w:t xml:space="preserve"> d’éviter</w:t>
      </w:r>
      <w:r w:rsidR="0098530F" w:rsidRPr="00E850D2">
        <w:rPr>
          <w:bCs/>
        </w:rPr>
        <w:t xml:space="preserve"> de réinventer ce qui existe</w:t>
      </w:r>
      <w:r>
        <w:rPr>
          <w:bCs/>
        </w:rPr>
        <w:t>, et de</w:t>
      </w:r>
      <w:r w:rsidR="0098530F" w:rsidRPr="00E850D2">
        <w:rPr>
          <w:bCs/>
        </w:rPr>
        <w:t xml:space="preserve"> bénéficie</w:t>
      </w:r>
      <w:r>
        <w:rPr>
          <w:bCs/>
        </w:rPr>
        <w:t>r</w:t>
      </w:r>
      <w:r w:rsidR="0098530F" w:rsidRPr="00E850D2">
        <w:rPr>
          <w:bCs/>
        </w:rPr>
        <w:t xml:space="preserve"> des apport</w:t>
      </w:r>
      <w:r w:rsidR="00E850D2" w:rsidRPr="00E850D2">
        <w:rPr>
          <w:bCs/>
        </w:rPr>
        <w:t>s</w:t>
      </w:r>
      <w:r w:rsidR="0098530F" w:rsidRPr="00E850D2">
        <w:rPr>
          <w:bCs/>
        </w:rPr>
        <w:t xml:space="preserve"> de se</w:t>
      </w:r>
      <w:r>
        <w:rPr>
          <w:bCs/>
        </w:rPr>
        <w:t>s pairs. Ensuite, il faut extraire</w:t>
      </w:r>
      <w:r w:rsidR="0098530F" w:rsidRPr="00E850D2">
        <w:rPr>
          <w:bCs/>
        </w:rPr>
        <w:t xml:space="preserve"> ce qui est utile</w:t>
      </w:r>
      <w:r w:rsidR="00E850D2" w:rsidRPr="00E850D2">
        <w:rPr>
          <w:bCs/>
        </w:rPr>
        <w:t xml:space="preserve"> dans ces corpus</w:t>
      </w:r>
      <w:r>
        <w:rPr>
          <w:bCs/>
        </w:rPr>
        <w:t xml:space="preserve"> d’informations</w:t>
      </w:r>
      <w:r w:rsidR="0098530F" w:rsidRPr="00E850D2">
        <w:rPr>
          <w:bCs/>
        </w:rPr>
        <w:t xml:space="preserve">, </w:t>
      </w:r>
      <w:r>
        <w:rPr>
          <w:bCs/>
        </w:rPr>
        <w:t>composés</w:t>
      </w:r>
      <w:r w:rsidR="00E850D2" w:rsidRPr="00E850D2">
        <w:rPr>
          <w:bCs/>
        </w:rPr>
        <w:t xml:space="preserve"> de sources multiples</w:t>
      </w:r>
      <w:r w:rsidR="0098530F" w:rsidRPr="00E850D2">
        <w:rPr>
          <w:bCs/>
        </w:rPr>
        <w:t xml:space="preserve">, </w:t>
      </w:r>
      <w:r>
        <w:rPr>
          <w:bCs/>
        </w:rPr>
        <w:t xml:space="preserve">pour mieux croiser, </w:t>
      </w:r>
      <w:r w:rsidR="0098530F" w:rsidRPr="00E850D2">
        <w:rPr>
          <w:bCs/>
        </w:rPr>
        <w:t>réint</w:t>
      </w:r>
      <w:r>
        <w:rPr>
          <w:bCs/>
        </w:rPr>
        <w:t>erpré</w:t>
      </w:r>
      <w:r w:rsidR="0098530F" w:rsidRPr="00E850D2">
        <w:rPr>
          <w:bCs/>
        </w:rPr>
        <w:t>te</w:t>
      </w:r>
      <w:r>
        <w:rPr>
          <w:bCs/>
        </w:rPr>
        <w:t>r et réintégrer ces informations</w:t>
      </w:r>
      <w:r w:rsidR="00E850D2" w:rsidRPr="00E850D2">
        <w:rPr>
          <w:bCs/>
        </w:rPr>
        <w:t xml:space="preserve"> dans d’</w:t>
      </w:r>
      <w:r w:rsidR="0098530F" w:rsidRPr="00E850D2">
        <w:rPr>
          <w:bCs/>
        </w:rPr>
        <w:t>autre</w:t>
      </w:r>
      <w:r>
        <w:rPr>
          <w:bCs/>
        </w:rPr>
        <w:t>s contextes. Dans le processus de recherche</w:t>
      </w:r>
      <w:r w:rsidR="00E850D2" w:rsidRPr="00E850D2">
        <w:rPr>
          <w:bCs/>
        </w:rPr>
        <w:t>, le TDM est un outil « moderne »</w:t>
      </w:r>
      <w:r w:rsidR="00B73B10">
        <w:rPr>
          <w:bCs/>
        </w:rPr>
        <w:t xml:space="preserve"> essentiel</w:t>
      </w:r>
      <w:r w:rsidR="00E850D2" w:rsidRPr="00E850D2">
        <w:rPr>
          <w:bCs/>
        </w:rPr>
        <w:t>, adapté à la masse croissante de données polymorphes (BigData)</w:t>
      </w:r>
      <w:r>
        <w:rPr>
          <w:bCs/>
        </w:rPr>
        <w:t>,</w:t>
      </w:r>
      <w:r w:rsidR="00E850D2" w:rsidRPr="00E850D2">
        <w:rPr>
          <w:bCs/>
        </w:rPr>
        <w:t xml:space="preserve"> pour exploiter </w:t>
      </w:r>
      <w:r>
        <w:rPr>
          <w:bCs/>
        </w:rPr>
        <w:t xml:space="preserve">les données et </w:t>
      </w:r>
      <w:r w:rsidR="00B73B10">
        <w:rPr>
          <w:bCs/>
        </w:rPr>
        <w:t>produire</w:t>
      </w:r>
      <w:r w:rsidR="00E850D2" w:rsidRPr="00E850D2">
        <w:rPr>
          <w:bCs/>
        </w:rPr>
        <w:t xml:space="preserve"> de nouvelles connaissances.</w:t>
      </w:r>
      <w:r>
        <w:rPr>
          <w:bCs/>
        </w:rPr>
        <w:t xml:space="preserve"> Le TDM est un outil de découverte incontournable au XXIème siècle, à l’heure du Big Data, du Libre Accès</w:t>
      </w:r>
      <w:r w:rsidR="00591FE7">
        <w:rPr>
          <w:bCs/>
        </w:rPr>
        <w:t>, dans toutes les disciplines.</w:t>
      </w:r>
    </w:p>
    <w:p w:rsidR="005F46AE" w:rsidRDefault="00B83578" w:rsidP="005F46AE">
      <w:pPr>
        <w:spacing w:afterLines="100" w:after="240" w:line="240" w:lineRule="auto"/>
        <w:jc w:val="both"/>
        <w:rPr>
          <w:rFonts w:ascii="Calibri" w:hAnsi="Calibri"/>
        </w:rPr>
      </w:pPr>
      <w:r>
        <w:rPr>
          <w:rFonts w:ascii="Calibri" w:hAnsi="Calibri"/>
        </w:rPr>
        <w:t>L</w:t>
      </w:r>
      <w:r w:rsidR="00E850D2">
        <w:rPr>
          <w:rFonts w:ascii="Calibri" w:hAnsi="Calibri"/>
        </w:rPr>
        <w:t xml:space="preserve">es scientifiques travaillent </w:t>
      </w:r>
      <w:r w:rsidR="00591FE7">
        <w:rPr>
          <w:rFonts w:ascii="Calibri" w:hAnsi="Calibri"/>
        </w:rPr>
        <w:t xml:space="preserve">aujourd’hui </w:t>
      </w:r>
      <w:r w:rsidR="00E850D2">
        <w:rPr>
          <w:rFonts w:ascii="Calibri" w:hAnsi="Calibri"/>
        </w:rPr>
        <w:t>à relever les gr</w:t>
      </w:r>
      <w:r w:rsidR="006A3EEC">
        <w:rPr>
          <w:rFonts w:ascii="Calibri" w:hAnsi="Calibri"/>
        </w:rPr>
        <w:t>ands défis sociétaux que sont la connaissance et préservation de l’</w:t>
      </w:r>
      <w:r w:rsidR="0098530F" w:rsidRPr="00691981">
        <w:rPr>
          <w:rFonts w:ascii="Calibri" w:hAnsi="Calibri"/>
        </w:rPr>
        <w:t>environnem</w:t>
      </w:r>
      <w:r w:rsidR="00E850D2">
        <w:rPr>
          <w:rFonts w:ascii="Calibri" w:hAnsi="Calibri"/>
        </w:rPr>
        <w:t>ent</w:t>
      </w:r>
      <w:r w:rsidR="006A3EEC">
        <w:rPr>
          <w:rFonts w:ascii="Calibri" w:hAnsi="Calibri"/>
        </w:rPr>
        <w:t>,</w:t>
      </w:r>
      <w:r w:rsidR="00E850D2">
        <w:rPr>
          <w:rFonts w:ascii="Calibri" w:hAnsi="Calibri"/>
        </w:rPr>
        <w:t xml:space="preserve"> l’adaptation au changement climatique</w:t>
      </w:r>
      <w:r w:rsidR="0098530F" w:rsidRPr="00691981">
        <w:rPr>
          <w:rFonts w:ascii="Calibri" w:hAnsi="Calibri"/>
        </w:rPr>
        <w:t xml:space="preserve">, </w:t>
      </w:r>
      <w:r w:rsidR="00E850D2">
        <w:rPr>
          <w:rFonts w:ascii="Calibri" w:hAnsi="Calibri"/>
        </w:rPr>
        <w:t xml:space="preserve">la </w:t>
      </w:r>
      <w:r w:rsidR="0098530F" w:rsidRPr="00691981">
        <w:rPr>
          <w:rFonts w:ascii="Calibri" w:hAnsi="Calibri"/>
        </w:rPr>
        <w:t xml:space="preserve">santé humaine, </w:t>
      </w:r>
      <w:r w:rsidR="00E850D2">
        <w:rPr>
          <w:rFonts w:ascii="Calibri" w:hAnsi="Calibri"/>
        </w:rPr>
        <w:t>l’</w:t>
      </w:r>
      <w:r w:rsidR="0098530F" w:rsidRPr="00691981">
        <w:rPr>
          <w:rFonts w:ascii="Calibri" w:hAnsi="Calibri"/>
        </w:rPr>
        <w:t>alimentation</w:t>
      </w:r>
      <w:r w:rsidR="00E850D2">
        <w:rPr>
          <w:rFonts w:ascii="Calibri" w:hAnsi="Calibri"/>
        </w:rPr>
        <w:t>, l’énergie</w:t>
      </w:r>
      <w:r w:rsidR="00591FE7">
        <w:rPr>
          <w:rFonts w:ascii="Calibri" w:hAnsi="Calibri"/>
        </w:rPr>
        <w:t>…</w:t>
      </w:r>
      <w:r w:rsidR="00E850D2">
        <w:rPr>
          <w:rFonts w:ascii="Calibri" w:hAnsi="Calibri"/>
        </w:rPr>
        <w:t xml:space="preserve"> Pour </w:t>
      </w:r>
      <w:r w:rsidR="00591FE7">
        <w:rPr>
          <w:rFonts w:ascii="Calibri" w:hAnsi="Calibri"/>
        </w:rPr>
        <w:t>traiter ces sujets complexes et souvent interdépendants</w:t>
      </w:r>
      <w:r w:rsidR="00E850D2">
        <w:rPr>
          <w:rFonts w:ascii="Calibri" w:hAnsi="Calibri"/>
        </w:rPr>
        <w:t>, il</w:t>
      </w:r>
      <w:r w:rsidR="00591FE7">
        <w:rPr>
          <w:rFonts w:ascii="Calibri" w:hAnsi="Calibri"/>
        </w:rPr>
        <w:t>s</w:t>
      </w:r>
      <w:r w:rsidR="00E850D2">
        <w:rPr>
          <w:rFonts w:ascii="Calibri" w:hAnsi="Calibri"/>
        </w:rPr>
        <w:t xml:space="preserve"> </w:t>
      </w:r>
      <w:r w:rsidR="00591FE7">
        <w:rPr>
          <w:rFonts w:ascii="Calibri" w:hAnsi="Calibri"/>
        </w:rPr>
        <w:t xml:space="preserve">conduisent des travaux </w:t>
      </w:r>
      <w:r w:rsidR="006A3EEC">
        <w:rPr>
          <w:rFonts w:ascii="Calibri" w:hAnsi="Calibri"/>
        </w:rPr>
        <w:t>basés sur</w:t>
      </w:r>
      <w:r w:rsidR="00E850D2">
        <w:rPr>
          <w:rFonts w:ascii="Calibri" w:hAnsi="Calibri"/>
        </w:rPr>
        <w:t xml:space="preserve"> des approches </w:t>
      </w:r>
      <w:r w:rsidR="00591FE7">
        <w:rPr>
          <w:rFonts w:ascii="Calibri" w:hAnsi="Calibri"/>
        </w:rPr>
        <w:t xml:space="preserve">à la fois </w:t>
      </w:r>
      <w:r w:rsidR="00E850D2">
        <w:rPr>
          <w:rFonts w:ascii="Calibri" w:hAnsi="Calibri"/>
        </w:rPr>
        <w:t xml:space="preserve">disciplinaires et </w:t>
      </w:r>
      <w:r w:rsidR="0098530F" w:rsidRPr="00691981">
        <w:rPr>
          <w:rFonts w:ascii="Calibri" w:hAnsi="Calibri"/>
        </w:rPr>
        <w:t> </w:t>
      </w:r>
      <w:r w:rsidR="00E850D2">
        <w:rPr>
          <w:rFonts w:ascii="Calibri" w:hAnsi="Calibri"/>
        </w:rPr>
        <w:t xml:space="preserve">transdisciplinaires, et ceci dans un contexte de compétition mondiale féroce. </w:t>
      </w:r>
      <w:r>
        <w:rPr>
          <w:rFonts w:ascii="Calibri" w:hAnsi="Calibri"/>
        </w:rPr>
        <w:t xml:space="preserve">Limiter </w:t>
      </w:r>
      <w:r w:rsidR="00E850D2">
        <w:rPr>
          <w:rFonts w:ascii="Calibri" w:hAnsi="Calibri"/>
        </w:rPr>
        <w:t xml:space="preserve">l’usage du TDM par les scientifiques français </w:t>
      </w:r>
      <w:r w:rsidR="005F784D">
        <w:rPr>
          <w:rFonts w:ascii="Calibri" w:hAnsi="Calibri"/>
        </w:rPr>
        <w:t xml:space="preserve">présente un handicap </w:t>
      </w:r>
      <w:r w:rsidR="00E850D2">
        <w:rPr>
          <w:rFonts w:ascii="Calibri" w:hAnsi="Calibri"/>
        </w:rPr>
        <w:t>majeur à la fois en terme</w:t>
      </w:r>
      <w:r w:rsidR="0084038C">
        <w:rPr>
          <w:rFonts w:ascii="Calibri" w:hAnsi="Calibri"/>
        </w:rPr>
        <w:t>s</w:t>
      </w:r>
      <w:r w:rsidR="00E850D2">
        <w:rPr>
          <w:rFonts w:ascii="Calibri" w:hAnsi="Calibri"/>
        </w:rPr>
        <w:t xml:space="preserve"> </w:t>
      </w:r>
      <w:r w:rsidR="00A878F6">
        <w:rPr>
          <w:rFonts w:ascii="Calibri" w:hAnsi="Calibri"/>
        </w:rPr>
        <w:t xml:space="preserve">de périmètre (objets multiples), de volumétrie (très grande quantités d’informations) et </w:t>
      </w:r>
      <w:r w:rsidR="00E850D2">
        <w:rPr>
          <w:rFonts w:ascii="Calibri" w:hAnsi="Calibri"/>
        </w:rPr>
        <w:t xml:space="preserve">de rapidité </w:t>
      </w:r>
      <w:r w:rsidR="00591FE7">
        <w:rPr>
          <w:rFonts w:ascii="Calibri" w:hAnsi="Calibri"/>
        </w:rPr>
        <w:t xml:space="preserve">de traitement </w:t>
      </w:r>
      <w:r w:rsidR="00A878F6">
        <w:rPr>
          <w:rFonts w:ascii="Calibri" w:hAnsi="Calibri"/>
        </w:rPr>
        <w:t>(démultiplicateur)</w:t>
      </w:r>
      <w:r w:rsidR="0084038C">
        <w:rPr>
          <w:rFonts w:ascii="Calibri" w:hAnsi="Calibri"/>
        </w:rPr>
        <w:t xml:space="preserve"> ; </w:t>
      </w:r>
      <w:r w:rsidR="0084038C">
        <w:rPr>
          <w:rFonts w:ascii="Calibri" w:hAnsi="Calibri"/>
        </w:rPr>
        <w:lastRenderedPageBreak/>
        <w:t>l’enjeu est d’autant plus grand</w:t>
      </w:r>
      <w:r w:rsidR="00591FE7">
        <w:rPr>
          <w:rFonts w:ascii="Calibri" w:hAnsi="Calibri"/>
        </w:rPr>
        <w:t xml:space="preserve"> </w:t>
      </w:r>
      <w:r w:rsidR="0084038C">
        <w:rPr>
          <w:rFonts w:ascii="Calibri" w:hAnsi="Calibri"/>
        </w:rPr>
        <w:t>que</w:t>
      </w:r>
      <w:r w:rsidR="00E850D2">
        <w:rPr>
          <w:rFonts w:ascii="Calibri" w:hAnsi="Calibri"/>
        </w:rPr>
        <w:t xml:space="preserve"> </w:t>
      </w:r>
      <w:r w:rsidR="0084038C">
        <w:rPr>
          <w:rFonts w:ascii="Calibri" w:hAnsi="Calibri"/>
        </w:rPr>
        <w:t>leurs</w:t>
      </w:r>
      <w:r w:rsidR="00E850D2">
        <w:rPr>
          <w:rFonts w:ascii="Calibri" w:hAnsi="Calibri"/>
        </w:rPr>
        <w:t xml:space="preserve"> concurrents à l’échelle européenne et internationale bénéficient aisément de ces outils.</w:t>
      </w:r>
    </w:p>
    <w:p w:rsidR="005F46AE" w:rsidRDefault="0084038C" w:rsidP="005F46AE">
      <w:pPr>
        <w:spacing w:afterLines="100" w:after="240" w:line="240" w:lineRule="auto"/>
        <w:jc w:val="both"/>
        <w:rPr>
          <w:rFonts w:ascii="Calibri" w:hAnsi="Calibri"/>
        </w:rPr>
      </w:pPr>
      <w:r>
        <w:rPr>
          <w:rFonts w:ascii="Calibri" w:hAnsi="Calibri"/>
        </w:rPr>
        <w:t>Notons enfin</w:t>
      </w:r>
      <w:r w:rsidR="005F784D">
        <w:rPr>
          <w:rFonts w:ascii="Calibri" w:hAnsi="Calibri"/>
        </w:rPr>
        <w:t xml:space="preserve"> que les techniques de TDM s’appuient sur des outils innovants (logiciels, moteurs de recherche, technologies pour la collecte et le traitement massifs de données) que la Recherche (Inria, CE, CNRS…) et les entreprises françaises contribuent à développer.  C’est un des grands secteurs d’innovation potentiel actuel. Nous priver de la possibilité de concevoir, tester ou utiliser ces outils nous </w:t>
      </w:r>
      <w:r w:rsidR="00A9028E">
        <w:rPr>
          <w:rFonts w:ascii="Calibri" w:hAnsi="Calibri"/>
        </w:rPr>
        <w:t>exclue</w:t>
      </w:r>
      <w:r w:rsidR="005F784D">
        <w:rPr>
          <w:rFonts w:ascii="Calibri" w:hAnsi="Calibri"/>
        </w:rPr>
        <w:t xml:space="preserve"> d’un marché d’avenir et nous </w:t>
      </w:r>
      <w:r w:rsidR="00A9028E">
        <w:rPr>
          <w:rFonts w:ascii="Calibri" w:hAnsi="Calibri"/>
        </w:rPr>
        <w:t xml:space="preserve">retarderait considérablement dans la compétition mondiale que constitue aujourd’hui </w:t>
      </w:r>
      <w:r w:rsidR="006A3EEC">
        <w:rPr>
          <w:rFonts w:ascii="Calibri" w:hAnsi="Calibri"/>
        </w:rPr>
        <w:t>l’</w:t>
      </w:r>
      <w:r w:rsidR="00A9028E">
        <w:rPr>
          <w:rFonts w:ascii="Calibri" w:hAnsi="Calibri"/>
        </w:rPr>
        <w:t>E</w:t>
      </w:r>
      <w:r w:rsidR="006A3EEC">
        <w:rPr>
          <w:rFonts w:ascii="Calibri" w:hAnsi="Calibri"/>
        </w:rPr>
        <w:t>conomie numérique.</w:t>
      </w:r>
    </w:p>
    <w:p w:rsidR="00775308" w:rsidRDefault="00775308" w:rsidP="00775308">
      <w:pPr>
        <w:spacing w:afterLines="100" w:after="240" w:line="240" w:lineRule="auto"/>
        <w:jc w:val="both"/>
        <w:rPr>
          <w:rFonts w:ascii="Calibri" w:hAnsi="Calibri"/>
        </w:rPr>
      </w:pPr>
    </w:p>
    <w:p w:rsidR="00A878F6" w:rsidRPr="00A878F6" w:rsidRDefault="00A9028E" w:rsidP="00775308">
      <w:pPr>
        <w:spacing w:afterLines="100" w:after="240" w:line="240" w:lineRule="auto"/>
        <w:rPr>
          <w:b/>
          <w:sz w:val="24"/>
          <w:szCs w:val="24"/>
        </w:rPr>
      </w:pPr>
      <w:r>
        <w:rPr>
          <w:b/>
          <w:sz w:val="24"/>
          <w:szCs w:val="24"/>
        </w:rPr>
        <w:t>Exemples d’u</w:t>
      </w:r>
      <w:r w:rsidR="00A878F6" w:rsidRPr="00691981">
        <w:rPr>
          <w:b/>
          <w:sz w:val="24"/>
          <w:szCs w:val="24"/>
        </w:rPr>
        <w:t>sages</w:t>
      </w:r>
      <w:r w:rsidR="00B177C9">
        <w:rPr>
          <w:b/>
          <w:sz w:val="24"/>
          <w:szCs w:val="24"/>
        </w:rPr>
        <w:t xml:space="preserve"> par les scientifiques</w:t>
      </w:r>
      <w:r w:rsidR="00A878F6">
        <w:rPr>
          <w:b/>
          <w:sz w:val="24"/>
          <w:szCs w:val="24"/>
        </w:rPr>
        <w:t> :</w:t>
      </w:r>
    </w:p>
    <w:p w:rsidR="0084038C" w:rsidRDefault="0084038C" w:rsidP="00526DFB">
      <w:pPr>
        <w:pStyle w:val="Textebrut"/>
        <w:spacing w:afterLines="200" w:after="480"/>
        <w:jc w:val="both"/>
        <w:rPr>
          <w:szCs w:val="22"/>
        </w:rPr>
      </w:pPr>
      <w:r>
        <w:rPr>
          <w:szCs w:val="22"/>
        </w:rPr>
        <w:t>Les usages sont donc nombreux et touchent toutes les disciplines. Sont rassemblés ici quelques exemples pour illustr</w:t>
      </w:r>
      <w:r w:rsidR="00B177C9">
        <w:rPr>
          <w:szCs w:val="22"/>
        </w:rPr>
        <w:t>er</w:t>
      </w:r>
      <w:r>
        <w:rPr>
          <w:szCs w:val="22"/>
        </w:rPr>
        <w:t xml:space="preserve"> notre propos.</w:t>
      </w:r>
    </w:p>
    <w:p w:rsidR="00775308" w:rsidRPr="005F46AE" w:rsidRDefault="00775308" w:rsidP="005F46AE">
      <w:pPr>
        <w:jc w:val="both"/>
        <w:rPr>
          <w:rFonts w:ascii="Calibri" w:hAnsi="Calibri"/>
        </w:rPr>
      </w:pPr>
      <w:r w:rsidRPr="0075041E">
        <w:rPr>
          <w:b/>
        </w:rPr>
        <w:t>Au CEA</w:t>
      </w:r>
      <w:r>
        <w:t xml:space="preserve">, la </w:t>
      </w:r>
      <w:r>
        <w:rPr>
          <w:rFonts w:ascii="Calibri" w:hAnsi="Calibri"/>
        </w:rPr>
        <w:t xml:space="preserve">pratique du TDM est très courante tant en physique des particules, en physique nucléaire ou en astrophysique (cf. travaux du Centre de données astronomiques de Strasbourg : </w:t>
      </w:r>
      <w:hyperlink r:id="rId8" w:history="1">
        <w:r>
          <w:rPr>
            <w:rStyle w:val="Lienhypertexte"/>
            <w:rFonts w:ascii="Calibri" w:hAnsi="Calibri"/>
          </w:rPr>
          <w:t>http://cdsweb.u-strasbg.fr/about</w:t>
        </w:r>
      </w:hyperlink>
      <w:r>
        <w:rPr>
          <w:rFonts w:ascii="Calibri" w:hAnsi="Calibri"/>
        </w:rPr>
        <w:t xml:space="preserve"> ). La mise en relation d’archives interopérables et d’outils intelligents  pour leur analyse est à la base de projets européens, comme The European Virtual Observatory, </w:t>
      </w:r>
      <w:hyperlink r:id="rId9" w:history="1">
        <w:r>
          <w:rPr>
            <w:rStyle w:val="Lienhypertexte"/>
            <w:rFonts w:ascii="Calibri" w:hAnsi="Calibri"/>
          </w:rPr>
          <w:t>http://www.euro-vo.org/</w:t>
        </w:r>
      </w:hyperlink>
      <w:r>
        <w:rPr>
          <w:rFonts w:ascii="Calibri" w:hAnsi="Calibri"/>
        </w:rPr>
        <w:t xml:space="preserve"> , ou EUROPLANET, </w:t>
      </w:r>
      <w:hyperlink r:id="rId10" w:history="1">
        <w:r>
          <w:rPr>
            <w:rStyle w:val="Lienhypertexte"/>
            <w:rFonts w:ascii="Calibri" w:hAnsi="Calibri"/>
          </w:rPr>
          <w:t>http://www.europlanet-eu.org/</w:t>
        </w:r>
      </w:hyperlink>
      <w:r>
        <w:rPr>
          <w:rFonts w:ascii="Calibri" w:hAnsi="Calibri"/>
        </w:rPr>
        <w:t xml:space="preserve"> . C’est également le cas en physique de la matière condensée par exemple qui est à l’origine de toutes les innovations sur les matériaux, les nouvelles technologies de l’énergie, de la santé ou de la communication. Enfin, le principe même de pouvoir exploiter des « archives » de nature extrêmement variées est un des pilier des sciences du Climat et de l’environnement, comme le montre le travail du LSCE dans la reconstitution des climats du passé.  </w:t>
      </w:r>
    </w:p>
    <w:p w:rsidR="00B177C9" w:rsidRDefault="00775308" w:rsidP="00B177C9">
      <w:pPr>
        <w:pStyle w:val="Textebrut"/>
      </w:pPr>
      <w:r>
        <w:rPr>
          <w:szCs w:val="22"/>
        </w:rPr>
        <w:t xml:space="preserve">Dans d’autres domaines, </w:t>
      </w:r>
      <w:r w:rsidR="00B177C9">
        <w:rPr>
          <w:szCs w:val="22"/>
        </w:rPr>
        <w:t xml:space="preserve"> l’usage du TDM est utilisé par </w:t>
      </w:r>
      <w:r w:rsidR="00A9028E">
        <w:rPr>
          <w:szCs w:val="22"/>
        </w:rPr>
        <w:t xml:space="preserve">des </w:t>
      </w:r>
      <w:r w:rsidR="00B177C9">
        <w:rPr>
          <w:szCs w:val="22"/>
        </w:rPr>
        <w:t xml:space="preserve">équipes </w:t>
      </w:r>
      <w:r>
        <w:rPr>
          <w:szCs w:val="22"/>
        </w:rPr>
        <w:t xml:space="preserve">du CEA </w:t>
      </w:r>
      <w:r w:rsidR="00B177C9">
        <w:rPr>
          <w:szCs w:val="22"/>
        </w:rPr>
        <w:t xml:space="preserve">pour le traitement </w:t>
      </w:r>
      <w:r>
        <w:rPr>
          <w:szCs w:val="22"/>
        </w:rPr>
        <w:t>automati</w:t>
      </w:r>
      <w:r w:rsidR="005F46AE">
        <w:rPr>
          <w:szCs w:val="22"/>
        </w:rPr>
        <w:t xml:space="preserve">que des langues, notamment pour </w:t>
      </w:r>
      <w:r w:rsidR="00B177C9">
        <w:t>la constitution, la visualisation et l’analyse de réseaux de citations (</w:t>
      </w:r>
      <w:hyperlink r:id="rId11" w:history="1">
        <w:r w:rsidR="00B177C9">
          <w:rPr>
            <w:rStyle w:val="Lienhypertexte"/>
          </w:rPr>
          <w:t>http://clair.eecs.umich.edu/aan/index.php</w:t>
        </w:r>
      </w:hyperlink>
      <w:r w:rsidR="00B177C9">
        <w:t xml:space="preserve">) </w:t>
      </w:r>
      <w:r w:rsidR="005F46AE">
        <w:t>ou pour accroitre les performances de moteurs de recherche spécialisés</w:t>
      </w:r>
      <w:r w:rsidR="00B177C9">
        <w:t xml:space="preserve"> (</w:t>
      </w:r>
      <w:hyperlink r:id="rId12" w:history="1">
        <w:r w:rsidR="00B177C9">
          <w:rPr>
            <w:rStyle w:val="Lienhypertexte"/>
          </w:rPr>
          <w:t>http://aclasb.dfki.de/</w:t>
        </w:r>
      </w:hyperlink>
      <w:r w:rsidR="00B177C9">
        <w:t xml:space="preserve"> ou </w:t>
      </w:r>
      <w:hyperlink r:id="rId13" w:history="1">
        <w:r w:rsidR="00B177C9">
          <w:rPr>
            <w:rStyle w:val="Lienhypertexte"/>
          </w:rPr>
          <w:t>http://saffron.insight-centre.org/acl/</w:t>
        </w:r>
      </w:hyperlink>
      <w:r w:rsidR="00B177C9">
        <w:t>).</w:t>
      </w:r>
    </w:p>
    <w:p w:rsidR="00CA7CD0" w:rsidRDefault="00CA7CD0" w:rsidP="00775308">
      <w:pPr>
        <w:pStyle w:val="Textebrut"/>
        <w:jc w:val="both"/>
      </w:pPr>
    </w:p>
    <w:p w:rsidR="00CA7CD0" w:rsidRPr="007F2637" w:rsidRDefault="005F46AE" w:rsidP="00775308">
      <w:pPr>
        <w:pStyle w:val="Textebrut"/>
        <w:jc w:val="both"/>
      </w:pPr>
      <w:r w:rsidRPr="0075041E">
        <w:rPr>
          <w:b/>
        </w:rPr>
        <w:t>A l’INRA</w:t>
      </w:r>
      <w:r>
        <w:t>, l</w:t>
      </w:r>
      <w:r w:rsidR="00CA7CD0">
        <w:t xml:space="preserve">'équipe de recherche </w:t>
      </w:r>
      <w:hyperlink r:id="rId14" w:history="1">
        <w:r w:rsidR="00CA7CD0" w:rsidRPr="000117EC">
          <w:rPr>
            <w:rStyle w:val="Lienhypertexte"/>
          </w:rPr>
          <w:t>Bibliome</w:t>
        </w:r>
      </w:hyperlink>
      <w:r w:rsidR="00CA7CD0">
        <w:t xml:space="preserve"> (unité MaIAGE-INRA) développe de nombreuses applications de TDM appliqué à des textes d'articles scientifiques dans des domaines intéressant l’Inra. Certains de ces projets utilisent également des références (PubMed), des brevets (EspaceNet) et des magazines professionnels (ex. </w:t>
      </w:r>
      <w:r w:rsidR="00CA7CD0" w:rsidRPr="007F2637">
        <w:t>Perspectives Agricoles).</w:t>
      </w:r>
    </w:p>
    <w:p w:rsidR="00CA7CD0" w:rsidRPr="007F2637" w:rsidRDefault="00CA7CD0" w:rsidP="00775308">
      <w:pPr>
        <w:pStyle w:val="Textebrut"/>
        <w:jc w:val="both"/>
      </w:pPr>
    </w:p>
    <w:p w:rsidR="00CA7CD0" w:rsidRPr="00CA7CD0" w:rsidRDefault="00CA7CD0" w:rsidP="00775308">
      <w:pPr>
        <w:pStyle w:val="Textebrut"/>
        <w:jc w:val="both"/>
      </w:pPr>
      <w:r w:rsidRPr="00CA7CD0">
        <w:t>L’UMR</w:t>
      </w:r>
      <w:r w:rsidR="00775308">
        <w:t xml:space="preserve"> </w:t>
      </w:r>
      <w:r w:rsidR="00775308" w:rsidRPr="00CA7CD0">
        <w:t>Lisis</w:t>
      </w:r>
      <w:r w:rsidR="00775308">
        <w:t xml:space="preserve"> </w:t>
      </w:r>
      <w:r>
        <w:t>(</w:t>
      </w:r>
      <w:r w:rsidR="00775308">
        <w:t xml:space="preserve">INRA, ENPC, UPEM) </w:t>
      </w:r>
      <w:hyperlink r:id="rId15" w:history="1">
        <w:r w:rsidRPr="00CA7CD0">
          <w:rPr>
            <w:rStyle w:val="Lienhypertexte"/>
          </w:rPr>
          <w:t>http://www.inra-ifris.org/</w:t>
        </w:r>
      </w:hyperlink>
      <w:r w:rsidRPr="00CA7CD0">
        <w:rPr>
          <w:rStyle w:val="Lienhypertexte"/>
        </w:rPr>
        <w:t>,</w:t>
      </w:r>
      <w:r w:rsidRPr="00CA7CD0">
        <w:t xml:space="preserve"> associée à l’IFRIS, développe une plateforme Cortext pour l’analyse de corpus textuels </w:t>
      </w:r>
      <w:r>
        <w:t>(</w:t>
      </w:r>
      <w:hyperlink r:id="rId16" w:history="1">
        <w:r w:rsidRPr="00CA7CD0">
          <w:rPr>
            <w:rStyle w:val="Lienhypertexte"/>
          </w:rPr>
          <w:t>http://www.cortext.net/</w:t>
        </w:r>
      </w:hyperlink>
      <w:r>
        <w:rPr>
          <w:rStyle w:val="Lienhypertexte"/>
        </w:rPr>
        <w:t>)</w:t>
      </w:r>
      <w:r w:rsidRPr="00CA7CD0">
        <w:rPr>
          <w:rStyle w:val="Lienhypertexte"/>
          <w:color w:val="auto"/>
          <w:u w:val="none"/>
        </w:rPr>
        <w:t xml:space="preserve"> dans le cadre de recherches en SHS</w:t>
      </w:r>
      <w:r w:rsidRPr="00CA7CD0">
        <w:rPr>
          <w:rStyle w:val="Lienhypertexte"/>
          <w:u w:val="none"/>
        </w:rPr>
        <w:t xml:space="preserve">. </w:t>
      </w:r>
      <w:r w:rsidRPr="00CA7CD0">
        <w:t xml:space="preserve"> </w:t>
      </w:r>
    </w:p>
    <w:p w:rsidR="00CA7CD0" w:rsidRPr="00CA7CD0" w:rsidRDefault="00CA7CD0" w:rsidP="00775308">
      <w:pPr>
        <w:pStyle w:val="Textebrut"/>
        <w:jc w:val="both"/>
      </w:pPr>
      <w:r w:rsidRPr="00CA7CD0">
        <w:t xml:space="preserve"> </w:t>
      </w:r>
    </w:p>
    <w:p w:rsidR="005F46AE" w:rsidRDefault="005F46AE" w:rsidP="00775308">
      <w:pPr>
        <w:pStyle w:val="Textebrut"/>
        <w:jc w:val="both"/>
      </w:pPr>
      <w:r w:rsidRPr="0075041E">
        <w:rPr>
          <w:b/>
        </w:rPr>
        <w:t>Le Cirad</w:t>
      </w:r>
      <w:r>
        <w:t xml:space="preserve"> est également concerné au travers de l</w:t>
      </w:r>
      <w:r w:rsidR="00CA7CD0" w:rsidRPr="00775308">
        <w:t xml:space="preserve">’UMR IATE </w:t>
      </w:r>
      <w:r w:rsidR="00775308" w:rsidRPr="00775308">
        <w:t xml:space="preserve">(CIRAD, INRA, SupAgro, Université de Montpellier II) </w:t>
      </w:r>
      <w:r w:rsidR="00CA7CD0">
        <w:t>développe</w:t>
      </w:r>
      <w:r w:rsidR="00CA7CD0" w:rsidRPr="006923E0">
        <w:t xml:space="preserve"> des méthodes et des outils innovants de traitement de données et de connaissances</w:t>
      </w:r>
      <w:r>
        <w:t>.</w:t>
      </w:r>
      <w:hyperlink r:id="rId17" w:history="1">
        <w:r w:rsidR="00775308" w:rsidRPr="00775308">
          <w:rPr>
            <w:rStyle w:val="Lienhypertexte"/>
          </w:rPr>
          <w:t>http://umr-iate.cirad.fr/axes-de-recherche/ingenierie-des-connaissances/presentation</w:t>
        </w:r>
      </w:hyperlink>
    </w:p>
    <w:p w:rsidR="00CA7CD0" w:rsidRPr="006923E0" w:rsidRDefault="00CA7CD0" w:rsidP="00775308">
      <w:pPr>
        <w:pStyle w:val="Textebrut"/>
        <w:jc w:val="both"/>
      </w:pPr>
      <w:r w:rsidRPr="006923E0">
        <w:t>L'objectif est de proposer des méthodes et outils d'aide à la décision pour le pilotage global de filières de</w:t>
      </w:r>
      <w:r>
        <w:t xml:space="preserve"> transformation de la biomasse. </w:t>
      </w:r>
      <w:r w:rsidRPr="006923E0">
        <w:t xml:space="preserve">Ces méthodes et outils doivent permettre de collecter, </w:t>
      </w:r>
      <w:r w:rsidRPr="006923E0">
        <w:lastRenderedPageBreak/>
        <w:t>représenter et gérer différents types de données et de connaissances, incluant des données imparfaites (par exemple peu fiables, imprécises, ...), des connaissances à dire d'expert et des modèles de génie des procédés. D'autre part, les outils proposés doivent permettre la prise en compte de critères multiples, des préférences et des arguments des acteurs de la filière</w:t>
      </w:r>
      <w:r>
        <w:t xml:space="preserve"> agricole</w:t>
      </w:r>
      <w:r w:rsidR="00775308">
        <w:t>.</w:t>
      </w:r>
    </w:p>
    <w:p w:rsidR="00B177C9" w:rsidRDefault="00B177C9" w:rsidP="00B177C9">
      <w:pPr>
        <w:pStyle w:val="Textebrut"/>
      </w:pPr>
    </w:p>
    <w:p w:rsidR="00775308" w:rsidRDefault="0084038C" w:rsidP="005F46AE">
      <w:pPr>
        <w:pStyle w:val="Textebrut"/>
        <w:spacing w:afterLines="100" w:after="240"/>
        <w:jc w:val="both"/>
        <w:rPr>
          <w:szCs w:val="22"/>
        </w:rPr>
      </w:pPr>
      <w:r w:rsidRPr="0075041E">
        <w:rPr>
          <w:b/>
          <w:szCs w:val="22"/>
        </w:rPr>
        <w:t xml:space="preserve">A </w:t>
      </w:r>
      <w:r w:rsidR="005F46AE" w:rsidRPr="0075041E">
        <w:rPr>
          <w:b/>
          <w:szCs w:val="22"/>
        </w:rPr>
        <w:t>Irstea</w:t>
      </w:r>
      <w:r w:rsidR="005F46AE">
        <w:rPr>
          <w:szCs w:val="22"/>
        </w:rPr>
        <w:t>, des scientifiques de l</w:t>
      </w:r>
      <w:r w:rsidR="00613D2B" w:rsidRPr="00691981">
        <w:rPr>
          <w:szCs w:val="22"/>
        </w:rPr>
        <w:t xml:space="preserve">'UMR TETIS, </w:t>
      </w:r>
      <w:r w:rsidR="00526DFB">
        <w:rPr>
          <w:szCs w:val="22"/>
        </w:rPr>
        <w:t>utilise</w:t>
      </w:r>
      <w:r w:rsidR="005F46AE">
        <w:rPr>
          <w:szCs w:val="22"/>
        </w:rPr>
        <w:t>nt</w:t>
      </w:r>
      <w:r w:rsidR="00613D2B" w:rsidRPr="00691981">
        <w:rPr>
          <w:szCs w:val="22"/>
        </w:rPr>
        <w:t xml:space="preserve"> des solutions innovantes </w:t>
      </w:r>
      <w:r>
        <w:rPr>
          <w:szCs w:val="22"/>
        </w:rPr>
        <w:t>de fouille de textes et de données dans le cadre de recherches conduites en collaboration entre</w:t>
      </w:r>
      <w:r w:rsidR="005F46AE">
        <w:rPr>
          <w:szCs w:val="22"/>
        </w:rPr>
        <w:t xml:space="preserve"> </w:t>
      </w:r>
      <w:r>
        <w:rPr>
          <w:szCs w:val="22"/>
        </w:rPr>
        <w:t>IRSTEA</w:t>
      </w:r>
      <w:r w:rsidR="005F46AE">
        <w:rPr>
          <w:szCs w:val="22"/>
        </w:rPr>
        <w:t>, l’INRA</w:t>
      </w:r>
      <w:r w:rsidR="00613D2B" w:rsidRPr="00691981">
        <w:rPr>
          <w:szCs w:val="22"/>
        </w:rPr>
        <w:t xml:space="preserve"> et AgroParisTech</w:t>
      </w:r>
      <w:r>
        <w:rPr>
          <w:szCs w:val="22"/>
        </w:rPr>
        <w:t xml:space="preserve"> : fouille d’articles scientifiques pour identifier des thématiques nouvelles de recherche par l’enrichissement de </w:t>
      </w:r>
      <w:r w:rsidR="00613D2B" w:rsidRPr="00691981">
        <w:rPr>
          <w:szCs w:val="22"/>
        </w:rPr>
        <w:t>ressources sémantiques (ressources termino-ontologiques de sp</w:t>
      </w:r>
      <w:r w:rsidR="00526DFB">
        <w:rPr>
          <w:szCs w:val="22"/>
        </w:rPr>
        <w:t>écialité, thésaurus, etc.) ou améliorer d</w:t>
      </w:r>
      <w:r w:rsidR="00613D2B" w:rsidRPr="00691981">
        <w:rPr>
          <w:szCs w:val="22"/>
        </w:rPr>
        <w:t xml:space="preserve">es outils de veille en épidémiologie animale. </w:t>
      </w:r>
      <w:r w:rsidR="00526DFB">
        <w:rPr>
          <w:szCs w:val="22"/>
        </w:rPr>
        <w:t>En outre</w:t>
      </w:r>
      <w:r w:rsidR="00613D2B" w:rsidRPr="00691981">
        <w:rPr>
          <w:szCs w:val="22"/>
        </w:rPr>
        <w:t>, l</w:t>
      </w:r>
      <w:r w:rsidR="00526DFB">
        <w:rPr>
          <w:szCs w:val="22"/>
        </w:rPr>
        <w:t>e TDM permet l</w:t>
      </w:r>
      <w:r w:rsidR="00613D2B" w:rsidRPr="00691981">
        <w:rPr>
          <w:szCs w:val="22"/>
        </w:rPr>
        <w:t xml:space="preserve">a mise en relation de données hétérogènes </w:t>
      </w:r>
      <w:r w:rsidR="00526DFB">
        <w:rPr>
          <w:szCs w:val="22"/>
        </w:rPr>
        <w:t xml:space="preserve">au sein de corpus très volumineux qui comprennent à la fois des textes scientifiques et non scientifiques, jeux et bases de données, images, etc.), ce qui a permis </w:t>
      </w:r>
      <w:r w:rsidR="00613D2B" w:rsidRPr="00691981">
        <w:rPr>
          <w:szCs w:val="22"/>
        </w:rPr>
        <w:t>de découvrir des connaissance</w:t>
      </w:r>
      <w:r w:rsidR="00526DFB">
        <w:rPr>
          <w:szCs w:val="22"/>
        </w:rPr>
        <w:t>s nouvelles et complémentaires.</w:t>
      </w:r>
      <w:r w:rsidR="00B177C9">
        <w:rPr>
          <w:szCs w:val="22"/>
        </w:rPr>
        <w:t xml:space="preserve"> Cf</w:t>
      </w:r>
      <w:r w:rsidR="00CA7CD0">
        <w:rPr>
          <w:szCs w:val="22"/>
        </w:rPr>
        <w:t>.</w:t>
      </w:r>
      <w:r w:rsidR="00B177C9">
        <w:rPr>
          <w:szCs w:val="22"/>
        </w:rPr>
        <w:t xml:space="preserve"> n</w:t>
      </w:r>
      <w:r w:rsidR="00CA7CD0">
        <w:rPr>
          <w:szCs w:val="22"/>
        </w:rPr>
        <w:t>ombreuses références de l’UMR sur des travaux utilisant de texte et  data mining (</w:t>
      </w:r>
      <w:hyperlink r:id="rId18" w:history="1">
        <w:r w:rsidR="00CA7CD0" w:rsidRPr="009212D3">
          <w:rPr>
            <w:rStyle w:val="Lienhypertexte"/>
            <w:szCs w:val="22"/>
          </w:rPr>
          <w:t>https://tetis.teledetection.fr/index.php/fr/</w:t>
        </w:r>
      </w:hyperlink>
      <w:r w:rsidR="00CA7CD0">
        <w:rPr>
          <w:szCs w:val="22"/>
        </w:rPr>
        <w:t>).</w:t>
      </w:r>
    </w:p>
    <w:p w:rsidR="00C1257D" w:rsidRPr="00CA7CD0" w:rsidRDefault="00526DFB" w:rsidP="005F46AE">
      <w:pPr>
        <w:pStyle w:val="Textebrut"/>
        <w:spacing w:afterLines="100" w:after="240"/>
        <w:jc w:val="both"/>
        <w:rPr>
          <w:szCs w:val="22"/>
        </w:rPr>
      </w:pPr>
      <w:r>
        <w:t xml:space="preserve">L’UMR </w:t>
      </w:r>
      <w:r w:rsidR="00613D2B" w:rsidRPr="00691981">
        <w:t>GESTE</w:t>
      </w:r>
      <w:r>
        <w:t xml:space="preserve"> (IRSTEA, ENGEES)</w:t>
      </w:r>
      <w:r w:rsidR="00613D2B" w:rsidRPr="00691981">
        <w:t xml:space="preserve">, </w:t>
      </w:r>
      <w:r>
        <w:t>à Strasbourg</w:t>
      </w:r>
      <w:r w:rsidR="00775308">
        <w:t xml:space="preserve"> (</w:t>
      </w:r>
      <w:hyperlink r:id="rId19" w:history="1">
        <w:r w:rsidR="00775308" w:rsidRPr="009212D3">
          <w:rPr>
            <w:rStyle w:val="Lienhypertexte"/>
          </w:rPr>
          <w:t>http://geste.engees.eu/</w:t>
        </w:r>
      </w:hyperlink>
      <w:r w:rsidR="00775308">
        <w:t xml:space="preserve"> )</w:t>
      </w:r>
      <w:r>
        <w:t xml:space="preserve">, mobilise </w:t>
      </w:r>
      <w:r w:rsidR="00CA7CD0">
        <w:t xml:space="preserve">actuellement </w:t>
      </w:r>
      <w:r>
        <w:t>des scientifiques qui travaillent</w:t>
      </w:r>
      <w:r w:rsidR="00613D2B" w:rsidRPr="00691981">
        <w:t xml:space="preserve"> sur la problématique des polluants émergents dans l'eau et les changements de pratiques des particuliers et des artisans permettant d'en réduire l'émission. Il s'agit d'une question majeure en termes de santé-environnement, encore insuffisamment cernée sur le plan des enjeux et des solutions. </w:t>
      </w:r>
      <w:r>
        <w:t>L’usage du TDM permet</w:t>
      </w:r>
      <w:r w:rsidR="00CA7CD0">
        <w:t>tra</w:t>
      </w:r>
      <w:r>
        <w:t xml:space="preserve"> de </w:t>
      </w:r>
      <w:r w:rsidR="00613D2B" w:rsidRPr="00691981">
        <w:t>réaliser une cartographie de l'enjeu, dans ses dimensions scientifique</w:t>
      </w:r>
      <w:r>
        <w:t>s</w:t>
      </w:r>
      <w:r w:rsidR="00613D2B" w:rsidRPr="00691981">
        <w:t xml:space="preserve"> et sociétale</w:t>
      </w:r>
      <w:r>
        <w:t>s</w:t>
      </w:r>
      <w:r w:rsidR="00613D2B" w:rsidRPr="00691981">
        <w:t>, d'en préciser la chronologie, d'identifier des sous-thématiques ainsi que des institutions et acteurs</w:t>
      </w:r>
      <w:r>
        <w:t xml:space="preserve"> clés. </w:t>
      </w:r>
    </w:p>
    <w:p w:rsidR="005F46AE" w:rsidRDefault="00881963" w:rsidP="005F46AE">
      <w:pPr>
        <w:spacing w:afterLines="100" w:after="240" w:line="240" w:lineRule="auto"/>
        <w:jc w:val="both"/>
        <w:rPr>
          <w:rFonts w:ascii="Calibri" w:hAnsi="Calibri"/>
        </w:rPr>
      </w:pPr>
      <w:r>
        <w:rPr>
          <w:rFonts w:ascii="Calibri" w:hAnsi="Calibri"/>
        </w:rPr>
        <w:t>En matière d’usage du TDM dans le cadre de la conduite de travaux scientifiques</w:t>
      </w:r>
      <w:r w:rsidR="005F46AE">
        <w:rPr>
          <w:rFonts w:ascii="Calibri" w:hAnsi="Calibri"/>
        </w:rPr>
        <w:t>, le CNRS, qui présente ses propres arguments par ailleurs, est  un acteur majeur.</w:t>
      </w:r>
      <w:r>
        <w:rPr>
          <w:rFonts w:ascii="Calibri" w:hAnsi="Calibri"/>
        </w:rPr>
        <w:t xml:space="preserve"> Cf. rapport DIST.</w:t>
      </w:r>
    </w:p>
    <w:p w:rsidR="005F46AE" w:rsidRPr="005F46AE" w:rsidRDefault="005F46AE" w:rsidP="005F46AE">
      <w:pPr>
        <w:spacing w:afterLines="100" w:after="240" w:line="240" w:lineRule="auto"/>
        <w:jc w:val="both"/>
        <w:rPr>
          <w:rFonts w:ascii="Calibri" w:hAnsi="Calibri"/>
        </w:rPr>
      </w:pPr>
    </w:p>
    <w:p w:rsidR="00613D2B" w:rsidRPr="00691981" w:rsidRDefault="00A9028E" w:rsidP="0098530F">
      <w:pPr>
        <w:jc w:val="both"/>
        <w:rPr>
          <w:b/>
          <w:sz w:val="24"/>
          <w:szCs w:val="24"/>
        </w:rPr>
      </w:pPr>
      <w:r>
        <w:rPr>
          <w:b/>
          <w:sz w:val="24"/>
          <w:szCs w:val="24"/>
        </w:rPr>
        <w:t>Les enjeux</w:t>
      </w:r>
      <w:r w:rsidRPr="00691981">
        <w:rPr>
          <w:b/>
          <w:sz w:val="24"/>
          <w:szCs w:val="24"/>
        </w:rPr>
        <w:t xml:space="preserve"> </w:t>
      </w:r>
      <w:r w:rsidR="00613D2B" w:rsidRPr="00691981">
        <w:rPr>
          <w:b/>
          <w:sz w:val="24"/>
          <w:szCs w:val="24"/>
        </w:rPr>
        <w:t>juridiques :</w:t>
      </w:r>
    </w:p>
    <w:p w:rsidR="00613D2B" w:rsidRPr="00691981" w:rsidRDefault="00613D2B" w:rsidP="0098530F">
      <w:pPr>
        <w:pStyle w:val="Paragraphedeliste"/>
        <w:numPr>
          <w:ilvl w:val="0"/>
          <w:numId w:val="1"/>
        </w:numPr>
        <w:jc w:val="both"/>
      </w:pPr>
      <w:r w:rsidRPr="00691981">
        <w:t>La demande d’autorisation auprès des éditeurs pour faire du text-mining sur les articles prend énormément de temps et n’est pas toujours couronnée de succès ce qui peut nuire à la conduite des projets scientifiques (corpus incomplets)</w:t>
      </w:r>
      <w:r w:rsidR="005F46AE">
        <w:t>.</w:t>
      </w:r>
    </w:p>
    <w:p w:rsidR="00613D2B" w:rsidRPr="00691981" w:rsidRDefault="00613D2B" w:rsidP="0098530F">
      <w:pPr>
        <w:pStyle w:val="Paragraphedeliste"/>
        <w:numPr>
          <w:ilvl w:val="0"/>
          <w:numId w:val="1"/>
        </w:numPr>
        <w:jc w:val="both"/>
      </w:pPr>
      <w:r w:rsidRPr="00691981">
        <w:t>Pour éviter cette étape et conserver un corpus scientifiquement cohérent, les textes traités se limitent souvent à l’exploitation des notices bibliographiques ou aux sources de données gratuites.</w:t>
      </w:r>
    </w:p>
    <w:p w:rsidR="00613D2B" w:rsidRPr="00691981" w:rsidRDefault="00613D2B" w:rsidP="0098530F">
      <w:pPr>
        <w:pStyle w:val="Paragraphedeliste"/>
        <w:numPr>
          <w:ilvl w:val="0"/>
          <w:numId w:val="1"/>
        </w:numPr>
        <w:jc w:val="both"/>
      </w:pPr>
      <w:r w:rsidRPr="00691981">
        <w:t xml:space="preserve">La délégation IST de l’Inra a fait inclure </w:t>
      </w:r>
      <w:r w:rsidR="005F46AE">
        <w:t xml:space="preserve">l’usage du TDM </w:t>
      </w:r>
      <w:r w:rsidRPr="00691981">
        <w:t>dans les licences d’utilisation des plateformes de certains éditeurs (Springer, SGM)</w:t>
      </w:r>
      <w:r w:rsidR="005F46AE">
        <w:t>,</w:t>
      </w:r>
      <w:r w:rsidRPr="00691981">
        <w:t xml:space="preserve"> mais cela n’est pas satisfaisant car cette autorisation devrait être systématique</w:t>
      </w:r>
      <w:r w:rsidR="005F46AE">
        <w:t>.</w:t>
      </w:r>
    </w:p>
    <w:p w:rsidR="00613D2B" w:rsidRPr="00691981" w:rsidRDefault="007124CE" w:rsidP="00613D2B">
      <w:pPr>
        <w:pBdr>
          <w:top w:val="single" w:sz="4" w:space="1" w:color="auto"/>
          <w:left w:val="single" w:sz="4" w:space="4" w:color="auto"/>
          <w:bottom w:val="single" w:sz="4" w:space="1" w:color="auto"/>
          <w:right w:val="single" w:sz="4" w:space="4" w:color="auto"/>
        </w:pBdr>
        <w:rPr>
          <w:b/>
        </w:rPr>
      </w:pPr>
      <w:r>
        <w:rPr>
          <w:b/>
        </w:rPr>
        <w:t>L’urgence : besoin pour toute la recherche française de disposer du</w:t>
      </w:r>
      <w:r w:rsidR="00613D2B" w:rsidRPr="00691981">
        <w:rPr>
          <w:b/>
        </w:rPr>
        <w:t xml:space="preserve"> droit à faire du TDM sur des corpus mis à disposition dans des formats structurés (XML) avec des licences de type CC-BY</w:t>
      </w:r>
    </w:p>
    <w:p w:rsidR="00613D2B" w:rsidRPr="00691981" w:rsidRDefault="00613D2B" w:rsidP="00613D2B">
      <w:pPr>
        <w:pStyle w:val="Textebrut"/>
        <w:rPr>
          <w:b/>
          <w:sz w:val="24"/>
          <w:szCs w:val="24"/>
        </w:rPr>
      </w:pPr>
    </w:p>
    <w:p w:rsidR="00613D2B" w:rsidRPr="00691981" w:rsidRDefault="008B70DF" w:rsidP="00613D2B">
      <w:pPr>
        <w:jc w:val="both"/>
        <w:rPr>
          <w:b/>
          <w:sz w:val="24"/>
          <w:szCs w:val="24"/>
        </w:rPr>
      </w:pPr>
      <w:r w:rsidRPr="00691981">
        <w:rPr>
          <w:b/>
          <w:sz w:val="24"/>
          <w:szCs w:val="24"/>
        </w:rPr>
        <w:t>Questions</w:t>
      </w:r>
      <w:r w:rsidR="00613D2B" w:rsidRPr="00691981">
        <w:rPr>
          <w:b/>
          <w:sz w:val="24"/>
          <w:szCs w:val="24"/>
        </w:rPr>
        <w:t> </w:t>
      </w:r>
      <w:r w:rsidR="0017238D">
        <w:rPr>
          <w:b/>
          <w:sz w:val="24"/>
          <w:szCs w:val="24"/>
        </w:rPr>
        <w:t xml:space="preserve">stratégiques, </w:t>
      </w:r>
      <w:r w:rsidR="00C1257D" w:rsidRPr="00691981">
        <w:rPr>
          <w:b/>
          <w:sz w:val="24"/>
          <w:szCs w:val="24"/>
        </w:rPr>
        <w:t>politiques</w:t>
      </w:r>
      <w:r w:rsidR="0017238D">
        <w:rPr>
          <w:b/>
          <w:sz w:val="24"/>
          <w:szCs w:val="24"/>
        </w:rPr>
        <w:t xml:space="preserve"> et économiques </w:t>
      </w:r>
      <w:r w:rsidR="00613D2B" w:rsidRPr="00691981">
        <w:rPr>
          <w:b/>
          <w:sz w:val="24"/>
          <w:szCs w:val="24"/>
        </w:rPr>
        <w:t>:</w:t>
      </w:r>
    </w:p>
    <w:p w:rsidR="007124CE" w:rsidRPr="002C59F6" w:rsidRDefault="00613D2B" w:rsidP="00613D2B">
      <w:pPr>
        <w:pStyle w:val="Paragraphedeliste"/>
        <w:numPr>
          <w:ilvl w:val="0"/>
          <w:numId w:val="1"/>
        </w:numPr>
        <w:jc w:val="both"/>
      </w:pPr>
      <w:r w:rsidRPr="00691981">
        <w:t>Les scientifiques français ne sont pas</w:t>
      </w:r>
      <w:r w:rsidR="007124CE">
        <w:t>, aujourd’hui,</w:t>
      </w:r>
      <w:r w:rsidRPr="00691981">
        <w:t xml:space="preserve"> à égalité avec leurs concurrents étrangers, US et européens</w:t>
      </w:r>
      <w:r w:rsidR="002C59F6">
        <w:t xml:space="preserve">, </w:t>
      </w:r>
      <w:r w:rsidRPr="00691981">
        <w:t xml:space="preserve">Allemagne </w:t>
      </w:r>
      <w:r w:rsidR="00C1257D" w:rsidRPr="00691981">
        <w:t>notamment</w:t>
      </w:r>
      <w:r w:rsidR="002C59F6">
        <w:t xml:space="preserve">. En Grande-Bretagne, la refonte du code de la propriété intellectuelle, il y a deux ans, </w:t>
      </w:r>
      <w:r w:rsidR="002C59F6" w:rsidRPr="002C59F6">
        <w:rPr>
          <w:rFonts w:eastAsia="Times New Roman"/>
          <w:bCs/>
          <w:iCs/>
          <w:color w:val="000000"/>
        </w:rPr>
        <w:t>a introduit une exception au droit d'auteur permettant le TDM à des fins de recherche, sans que cette évolution ne bouscule en rien l</w:t>
      </w:r>
      <w:r w:rsidR="002C59F6">
        <w:rPr>
          <w:rFonts w:eastAsia="Times New Roman"/>
          <w:bCs/>
          <w:iCs/>
          <w:color w:val="000000"/>
        </w:rPr>
        <w:t>a</w:t>
      </w:r>
      <w:r w:rsidR="002C59F6" w:rsidRPr="002C59F6">
        <w:rPr>
          <w:rFonts w:eastAsia="Times New Roman"/>
          <w:bCs/>
          <w:iCs/>
          <w:color w:val="000000"/>
        </w:rPr>
        <w:t xml:space="preserve"> bonne santé économique des éditeurs</w:t>
      </w:r>
      <w:r w:rsidR="007124CE" w:rsidRPr="002C59F6">
        <w:t> ;</w:t>
      </w:r>
    </w:p>
    <w:p w:rsidR="007124CE" w:rsidRPr="00691981" w:rsidRDefault="007124CE" w:rsidP="007124CE">
      <w:pPr>
        <w:pStyle w:val="Paragraphedeliste"/>
        <w:numPr>
          <w:ilvl w:val="0"/>
          <w:numId w:val="1"/>
        </w:numPr>
        <w:jc w:val="both"/>
      </w:pPr>
      <w:r>
        <w:t xml:space="preserve">Des solutions de contournement se mettent en place dans le meilleur des cas : départ vers des laboratoires étrangers non soumis aux mêmes règles et accueil de scientifiques étrangers </w:t>
      </w:r>
      <w:r w:rsidRPr="00691981">
        <w:t>affiliés à des laboratoires non soumis à la loi française</w:t>
      </w:r>
      <w:r>
        <w:t xml:space="preserve"> (externalisation du traitement avec risque de perte de la paternité des découvertes pour les laboratoires français concernés) ;</w:t>
      </w:r>
    </w:p>
    <w:p w:rsidR="00613D2B" w:rsidRDefault="002C59F6" w:rsidP="00613D2B">
      <w:pPr>
        <w:pStyle w:val="Paragraphedeliste"/>
        <w:numPr>
          <w:ilvl w:val="0"/>
          <w:numId w:val="1"/>
        </w:numPr>
        <w:jc w:val="both"/>
      </w:pPr>
      <w:r>
        <w:t>Un a</w:t>
      </w:r>
      <w:r w:rsidR="007124CE">
        <w:t xml:space="preserve">nachronisme </w:t>
      </w:r>
      <w:r>
        <w:t xml:space="preserve">en décalage total </w:t>
      </w:r>
      <w:r w:rsidR="007124CE">
        <w:t>à l’ère du Big Data et de l’Open Access : les outils TDM existent, sont et seront développés et utilisés par des concurrents (risque majeur de manquer le tournant de la « data science » ;</w:t>
      </w:r>
    </w:p>
    <w:p w:rsidR="007124CE" w:rsidRDefault="007124CE" w:rsidP="00613D2B">
      <w:pPr>
        <w:pStyle w:val="Paragraphedeliste"/>
        <w:numPr>
          <w:ilvl w:val="0"/>
          <w:numId w:val="1"/>
        </w:numPr>
        <w:jc w:val="both"/>
      </w:pPr>
      <w:r>
        <w:t>Les risques déontologiques sont connus, ils doivent être enc</w:t>
      </w:r>
      <w:r w:rsidR="00F54908">
        <w:t>adrés par une loi qui permette</w:t>
      </w:r>
      <w:r>
        <w:t xml:space="preserve"> l’usage </w:t>
      </w:r>
      <w:r w:rsidR="00F54908">
        <w:t xml:space="preserve">sans entrave </w:t>
      </w:r>
      <w:r>
        <w:t>du TDM pour des activités de recherche</w:t>
      </w:r>
      <w:r w:rsidR="00D5435E">
        <w:t>, qui favorise l’innovation et qui, de ce fait, ne mette pas sur le même plan la production scientifique et les activités culturelles ;</w:t>
      </w:r>
    </w:p>
    <w:p w:rsidR="002C59F6" w:rsidRDefault="002C59F6" w:rsidP="002C59F6">
      <w:pPr>
        <w:pStyle w:val="Paragraphedeliste"/>
        <w:numPr>
          <w:ilvl w:val="0"/>
          <w:numId w:val="1"/>
        </w:numPr>
        <w:shd w:val="clear" w:color="auto" w:fill="FFFFFF"/>
        <w:jc w:val="both"/>
      </w:pPr>
      <w:r>
        <w:t xml:space="preserve">Une crainte injustifiée des éditeurs : outre le fait que l’édition scientifique fonctionne sur un modèle différent de celui du secteur culturel, </w:t>
      </w:r>
      <w:r w:rsidRPr="002C59F6">
        <w:rPr>
          <w:rFonts w:eastAsia="Times New Roman"/>
          <w:bCs/>
          <w:iCs/>
          <w:color w:val="000000"/>
        </w:rPr>
        <w:t>il est important de noter que les corpus utilisés pour des applications de TDM scientifique rassemblent majoritairement des documents pour lesquels les chercheurs ou leurs bibliothèques, en ayant acquis un abonnement pour leurs besoins de consultation documentaire, ont acquis un "droit de lecture". Tous les documents exploités par des outils de TDM ont donc déjà été achetés par leurs usagers : les éditeurs, comme il est normal, ont déjà, en amont des pratiques de TDM, monétisé leurs contenus</w:t>
      </w:r>
      <w:r>
        <w:rPr>
          <w:rFonts w:eastAsia="Times New Roman"/>
          <w:bCs/>
          <w:iCs/>
          <w:color w:val="000000"/>
        </w:rPr>
        <w:t> ;</w:t>
      </w:r>
    </w:p>
    <w:p w:rsidR="00F54908" w:rsidRDefault="00F54908" w:rsidP="00613D2B">
      <w:pPr>
        <w:pStyle w:val="Paragraphedeliste"/>
        <w:numPr>
          <w:ilvl w:val="0"/>
          <w:numId w:val="1"/>
        </w:numPr>
        <w:jc w:val="both"/>
      </w:pPr>
      <w:r>
        <w:t>Le TDM représente en outre, en soi, un potentiel de retombés économiques pour la France : plusieurs start-up Françaises ont vu le jour suite à des travaux de recherche ayant nécessité le développement d’outils de TDM</w:t>
      </w:r>
      <w:r w:rsidR="00881963">
        <w:t xml:space="preserve"> (au CEA notamment) en lien avec des partenaires privés</w:t>
      </w:r>
      <w:r>
        <w:t>. Aider l’usage du TDM, c’est aussi favoriser l’économie française</w:t>
      </w:r>
      <w:r w:rsidR="00881963">
        <w:t xml:space="preserve"> du numérique</w:t>
      </w:r>
      <w:r>
        <w:t>.</w:t>
      </w:r>
    </w:p>
    <w:p w:rsidR="002C59F6" w:rsidRPr="00691981" w:rsidRDefault="002C59F6" w:rsidP="002C59F6">
      <w:pPr>
        <w:ind w:left="360"/>
        <w:jc w:val="both"/>
      </w:pPr>
    </w:p>
    <w:p w:rsidR="00224DF7" w:rsidRPr="00691981" w:rsidRDefault="00224DF7" w:rsidP="00224DF7">
      <w:pPr>
        <w:jc w:val="both"/>
      </w:pPr>
    </w:p>
    <w:p w:rsidR="00613D2B" w:rsidRPr="00691981" w:rsidRDefault="00613D2B" w:rsidP="00F97CAD"/>
    <w:p w:rsidR="00F97CAD" w:rsidRPr="00691981" w:rsidRDefault="00F97CAD"/>
    <w:p w:rsidR="00F97CAD" w:rsidRPr="00691981" w:rsidRDefault="00F97CAD"/>
    <w:p w:rsidR="00F97CAD" w:rsidRPr="00691981" w:rsidRDefault="00F97CAD"/>
    <w:sectPr w:rsidR="00F97CAD" w:rsidRPr="0069198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186" w:rsidRDefault="00D61186" w:rsidP="00726784">
      <w:pPr>
        <w:spacing w:after="0" w:line="240" w:lineRule="auto"/>
      </w:pPr>
      <w:r>
        <w:separator/>
      </w:r>
    </w:p>
  </w:endnote>
  <w:endnote w:type="continuationSeparator" w:id="0">
    <w:p w:rsidR="00D61186" w:rsidRDefault="00D61186" w:rsidP="0072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329978"/>
      <w:docPartObj>
        <w:docPartGallery w:val="Page Numbers (Bottom of Page)"/>
        <w:docPartUnique/>
      </w:docPartObj>
    </w:sdtPr>
    <w:sdtEndPr/>
    <w:sdtContent>
      <w:p w:rsidR="00726784" w:rsidRDefault="00726784">
        <w:pPr>
          <w:pStyle w:val="Pieddepage"/>
          <w:jc w:val="right"/>
        </w:pPr>
        <w:r>
          <w:fldChar w:fldCharType="begin"/>
        </w:r>
        <w:r>
          <w:instrText>PAGE   \* MERGEFORMAT</w:instrText>
        </w:r>
        <w:r>
          <w:fldChar w:fldCharType="separate"/>
        </w:r>
        <w:r w:rsidR="00F15BC3">
          <w:rPr>
            <w:noProof/>
          </w:rPr>
          <w:t>2</w:t>
        </w:r>
        <w:r>
          <w:fldChar w:fldCharType="end"/>
        </w:r>
      </w:p>
    </w:sdtContent>
  </w:sdt>
  <w:p w:rsidR="00726784" w:rsidRDefault="007267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186" w:rsidRDefault="00D61186" w:rsidP="00726784">
      <w:pPr>
        <w:spacing w:after="0" w:line="240" w:lineRule="auto"/>
      </w:pPr>
      <w:r>
        <w:separator/>
      </w:r>
    </w:p>
  </w:footnote>
  <w:footnote w:type="continuationSeparator" w:id="0">
    <w:p w:rsidR="00D61186" w:rsidRDefault="00D61186" w:rsidP="00726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0F" w:rsidRDefault="00F15BC3">
    <w:pPr>
      <w:pStyle w:val="En-tt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3pt;height:45.7pt">
          <v:imagedata r:id="rId1" o:title="logo_eprist02"/>
        </v:shape>
      </w:pict>
    </w:r>
  </w:p>
  <w:p w:rsidR="00B5540F" w:rsidRDefault="00B554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36823"/>
    <w:multiLevelType w:val="hybridMultilevel"/>
    <w:tmpl w:val="74D69178"/>
    <w:lvl w:ilvl="0" w:tplc="C5106F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trackRevisions/>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AD"/>
    <w:rsid w:val="00027654"/>
    <w:rsid w:val="0017238D"/>
    <w:rsid w:val="00183584"/>
    <w:rsid w:val="001C5501"/>
    <w:rsid w:val="00224DF7"/>
    <w:rsid w:val="002C59F6"/>
    <w:rsid w:val="00526DFB"/>
    <w:rsid w:val="005847AD"/>
    <w:rsid w:val="00591FE7"/>
    <w:rsid w:val="005F46AE"/>
    <w:rsid w:val="005F784D"/>
    <w:rsid w:val="00613D2B"/>
    <w:rsid w:val="006167C2"/>
    <w:rsid w:val="00691981"/>
    <w:rsid w:val="006A3EEC"/>
    <w:rsid w:val="007124CE"/>
    <w:rsid w:val="00726784"/>
    <w:rsid w:val="0075041E"/>
    <w:rsid w:val="00775308"/>
    <w:rsid w:val="007F2637"/>
    <w:rsid w:val="0084038C"/>
    <w:rsid w:val="00881963"/>
    <w:rsid w:val="008B70DF"/>
    <w:rsid w:val="008F5241"/>
    <w:rsid w:val="00902CD3"/>
    <w:rsid w:val="0098530F"/>
    <w:rsid w:val="00A85BD2"/>
    <w:rsid w:val="00A878F6"/>
    <w:rsid w:val="00A9028E"/>
    <w:rsid w:val="00B177C9"/>
    <w:rsid w:val="00B5491B"/>
    <w:rsid w:val="00B5540F"/>
    <w:rsid w:val="00B73B10"/>
    <w:rsid w:val="00B83578"/>
    <w:rsid w:val="00BD6E05"/>
    <w:rsid w:val="00C1257D"/>
    <w:rsid w:val="00CA7CD0"/>
    <w:rsid w:val="00D36309"/>
    <w:rsid w:val="00D5435E"/>
    <w:rsid w:val="00D61186"/>
    <w:rsid w:val="00DE03AA"/>
    <w:rsid w:val="00E67D40"/>
    <w:rsid w:val="00E850D2"/>
    <w:rsid w:val="00F15BC3"/>
    <w:rsid w:val="00F54908"/>
    <w:rsid w:val="00F60391"/>
    <w:rsid w:val="00F97CAD"/>
    <w:rsid w:val="00FF60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13D2B"/>
    <w:pPr>
      <w:spacing w:after="0" w:line="240" w:lineRule="auto"/>
    </w:pPr>
    <w:rPr>
      <w:rFonts w:ascii="Calibri" w:hAnsi="Calibri"/>
      <w:szCs w:val="21"/>
    </w:rPr>
  </w:style>
  <w:style w:type="character" w:customStyle="1" w:styleId="TextebrutCar">
    <w:name w:val="Texte brut Car"/>
    <w:basedOn w:val="Policepardfaut"/>
    <w:link w:val="Textebrut"/>
    <w:uiPriority w:val="99"/>
    <w:rsid w:val="00613D2B"/>
    <w:rPr>
      <w:rFonts w:ascii="Calibri" w:hAnsi="Calibri"/>
      <w:szCs w:val="21"/>
    </w:rPr>
  </w:style>
  <w:style w:type="paragraph" w:styleId="Paragraphedeliste">
    <w:name w:val="List Paragraph"/>
    <w:basedOn w:val="Normal"/>
    <w:uiPriority w:val="34"/>
    <w:qFormat/>
    <w:rsid w:val="00613D2B"/>
    <w:pPr>
      <w:ind w:left="720"/>
      <w:contextualSpacing/>
    </w:pPr>
  </w:style>
  <w:style w:type="character" w:styleId="Lienhypertexte">
    <w:name w:val="Hyperlink"/>
    <w:basedOn w:val="Policepardfaut"/>
    <w:uiPriority w:val="99"/>
    <w:unhideWhenUsed/>
    <w:rsid w:val="00613D2B"/>
    <w:rPr>
      <w:color w:val="0000FF" w:themeColor="hyperlink"/>
      <w:u w:val="single"/>
    </w:rPr>
  </w:style>
  <w:style w:type="paragraph" w:styleId="En-tte">
    <w:name w:val="header"/>
    <w:basedOn w:val="Normal"/>
    <w:link w:val="En-tteCar"/>
    <w:uiPriority w:val="99"/>
    <w:unhideWhenUsed/>
    <w:rsid w:val="00726784"/>
    <w:pPr>
      <w:tabs>
        <w:tab w:val="center" w:pos="4536"/>
        <w:tab w:val="right" w:pos="9072"/>
      </w:tabs>
      <w:spacing w:after="0" w:line="240" w:lineRule="auto"/>
    </w:pPr>
  </w:style>
  <w:style w:type="character" w:customStyle="1" w:styleId="En-tteCar">
    <w:name w:val="En-tête Car"/>
    <w:basedOn w:val="Policepardfaut"/>
    <w:link w:val="En-tte"/>
    <w:uiPriority w:val="99"/>
    <w:rsid w:val="00726784"/>
  </w:style>
  <w:style w:type="paragraph" w:styleId="Pieddepage">
    <w:name w:val="footer"/>
    <w:basedOn w:val="Normal"/>
    <w:link w:val="PieddepageCar"/>
    <w:uiPriority w:val="99"/>
    <w:unhideWhenUsed/>
    <w:rsid w:val="00726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6784"/>
  </w:style>
  <w:style w:type="paragraph" w:styleId="Textedebulles">
    <w:name w:val="Balloon Text"/>
    <w:basedOn w:val="Normal"/>
    <w:link w:val="TextedebullesCar"/>
    <w:uiPriority w:val="99"/>
    <w:semiHidden/>
    <w:unhideWhenUsed/>
    <w:rsid w:val="00B835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3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13D2B"/>
    <w:pPr>
      <w:spacing w:after="0" w:line="240" w:lineRule="auto"/>
    </w:pPr>
    <w:rPr>
      <w:rFonts w:ascii="Calibri" w:hAnsi="Calibri"/>
      <w:szCs w:val="21"/>
    </w:rPr>
  </w:style>
  <w:style w:type="character" w:customStyle="1" w:styleId="TextebrutCar">
    <w:name w:val="Texte brut Car"/>
    <w:basedOn w:val="Policepardfaut"/>
    <w:link w:val="Textebrut"/>
    <w:uiPriority w:val="99"/>
    <w:rsid w:val="00613D2B"/>
    <w:rPr>
      <w:rFonts w:ascii="Calibri" w:hAnsi="Calibri"/>
      <w:szCs w:val="21"/>
    </w:rPr>
  </w:style>
  <w:style w:type="paragraph" w:styleId="Paragraphedeliste">
    <w:name w:val="List Paragraph"/>
    <w:basedOn w:val="Normal"/>
    <w:uiPriority w:val="34"/>
    <w:qFormat/>
    <w:rsid w:val="00613D2B"/>
    <w:pPr>
      <w:ind w:left="720"/>
      <w:contextualSpacing/>
    </w:pPr>
  </w:style>
  <w:style w:type="character" w:styleId="Lienhypertexte">
    <w:name w:val="Hyperlink"/>
    <w:basedOn w:val="Policepardfaut"/>
    <w:uiPriority w:val="99"/>
    <w:unhideWhenUsed/>
    <w:rsid w:val="00613D2B"/>
    <w:rPr>
      <w:color w:val="0000FF" w:themeColor="hyperlink"/>
      <w:u w:val="single"/>
    </w:rPr>
  </w:style>
  <w:style w:type="paragraph" w:styleId="En-tte">
    <w:name w:val="header"/>
    <w:basedOn w:val="Normal"/>
    <w:link w:val="En-tteCar"/>
    <w:uiPriority w:val="99"/>
    <w:unhideWhenUsed/>
    <w:rsid w:val="00726784"/>
    <w:pPr>
      <w:tabs>
        <w:tab w:val="center" w:pos="4536"/>
        <w:tab w:val="right" w:pos="9072"/>
      </w:tabs>
      <w:spacing w:after="0" w:line="240" w:lineRule="auto"/>
    </w:pPr>
  </w:style>
  <w:style w:type="character" w:customStyle="1" w:styleId="En-tteCar">
    <w:name w:val="En-tête Car"/>
    <w:basedOn w:val="Policepardfaut"/>
    <w:link w:val="En-tte"/>
    <w:uiPriority w:val="99"/>
    <w:rsid w:val="00726784"/>
  </w:style>
  <w:style w:type="paragraph" w:styleId="Pieddepage">
    <w:name w:val="footer"/>
    <w:basedOn w:val="Normal"/>
    <w:link w:val="PieddepageCar"/>
    <w:uiPriority w:val="99"/>
    <w:unhideWhenUsed/>
    <w:rsid w:val="00726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6784"/>
  </w:style>
  <w:style w:type="paragraph" w:styleId="Textedebulles">
    <w:name w:val="Balloon Text"/>
    <w:basedOn w:val="Normal"/>
    <w:link w:val="TextedebullesCar"/>
    <w:uiPriority w:val="99"/>
    <w:semiHidden/>
    <w:unhideWhenUsed/>
    <w:rsid w:val="00B835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3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7657">
      <w:bodyDiv w:val="1"/>
      <w:marLeft w:val="0"/>
      <w:marRight w:val="0"/>
      <w:marTop w:val="0"/>
      <w:marBottom w:val="0"/>
      <w:divBdr>
        <w:top w:val="none" w:sz="0" w:space="0" w:color="auto"/>
        <w:left w:val="none" w:sz="0" w:space="0" w:color="auto"/>
        <w:bottom w:val="none" w:sz="0" w:space="0" w:color="auto"/>
        <w:right w:val="none" w:sz="0" w:space="0" w:color="auto"/>
      </w:divBdr>
    </w:div>
    <w:div w:id="736782139">
      <w:bodyDiv w:val="1"/>
      <w:marLeft w:val="0"/>
      <w:marRight w:val="0"/>
      <w:marTop w:val="0"/>
      <w:marBottom w:val="0"/>
      <w:divBdr>
        <w:top w:val="none" w:sz="0" w:space="0" w:color="auto"/>
        <w:left w:val="none" w:sz="0" w:space="0" w:color="auto"/>
        <w:bottom w:val="none" w:sz="0" w:space="0" w:color="auto"/>
        <w:right w:val="none" w:sz="0" w:space="0" w:color="auto"/>
      </w:divBdr>
    </w:div>
    <w:div w:id="950279654">
      <w:bodyDiv w:val="1"/>
      <w:marLeft w:val="0"/>
      <w:marRight w:val="0"/>
      <w:marTop w:val="0"/>
      <w:marBottom w:val="0"/>
      <w:divBdr>
        <w:top w:val="none" w:sz="0" w:space="0" w:color="auto"/>
        <w:left w:val="none" w:sz="0" w:space="0" w:color="auto"/>
        <w:bottom w:val="none" w:sz="0" w:space="0" w:color="auto"/>
        <w:right w:val="none" w:sz="0" w:space="0" w:color="auto"/>
      </w:divBdr>
    </w:div>
    <w:div w:id="1519854762">
      <w:bodyDiv w:val="1"/>
      <w:marLeft w:val="0"/>
      <w:marRight w:val="0"/>
      <w:marTop w:val="0"/>
      <w:marBottom w:val="0"/>
      <w:divBdr>
        <w:top w:val="none" w:sz="0" w:space="0" w:color="auto"/>
        <w:left w:val="none" w:sz="0" w:space="0" w:color="auto"/>
        <w:bottom w:val="none" w:sz="0" w:space="0" w:color="auto"/>
        <w:right w:val="none" w:sz="0" w:space="0" w:color="auto"/>
      </w:divBdr>
    </w:div>
    <w:div w:id="1645040950">
      <w:bodyDiv w:val="1"/>
      <w:marLeft w:val="0"/>
      <w:marRight w:val="0"/>
      <w:marTop w:val="0"/>
      <w:marBottom w:val="0"/>
      <w:divBdr>
        <w:top w:val="none" w:sz="0" w:space="0" w:color="auto"/>
        <w:left w:val="none" w:sz="0" w:space="0" w:color="auto"/>
        <w:bottom w:val="none" w:sz="0" w:space="0" w:color="auto"/>
        <w:right w:val="none" w:sz="0" w:space="0" w:color="auto"/>
      </w:divBdr>
    </w:div>
    <w:div w:id="18609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sweb.u-strasbg.fr/about" TargetMode="External"/><Relationship Id="rId13" Type="http://schemas.openxmlformats.org/officeDocument/2006/relationships/hyperlink" Target="http://saffron.insight-centre.org/acl/" TargetMode="External"/><Relationship Id="rId18" Type="http://schemas.openxmlformats.org/officeDocument/2006/relationships/hyperlink" Target="https://tetis.teledetection.fr/index.php/f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clasb.dfki.de/" TargetMode="External"/><Relationship Id="rId17" Type="http://schemas.openxmlformats.org/officeDocument/2006/relationships/hyperlink" Target="http://umr-iate.cirad.fr/axes-de-recherche/ingenierie-des-connaissances/presentation" TargetMode="External"/><Relationship Id="rId2" Type="http://schemas.openxmlformats.org/officeDocument/2006/relationships/styles" Target="styles.xml"/><Relationship Id="rId16" Type="http://schemas.openxmlformats.org/officeDocument/2006/relationships/hyperlink" Target="http://www.cortext.ne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lair.eecs.umich.edu/aan/index.php" TargetMode="External"/><Relationship Id="rId5" Type="http://schemas.openxmlformats.org/officeDocument/2006/relationships/webSettings" Target="webSettings.xml"/><Relationship Id="rId15" Type="http://schemas.openxmlformats.org/officeDocument/2006/relationships/hyperlink" Target="http://www.inra-ifris.org/" TargetMode="External"/><Relationship Id="rId23" Type="http://schemas.openxmlformats.org/officeDocument/2006/relationships/theme" Target="theme/theme1.xml"/><Relationship Id="rId10" Type="http://schemas.openxmlformats.org/officeDocument/2006/relationships/hyperlink" Target="http://www.europlanet-eu.org/" TargetMode="External"/><Relationship Id="rId19" Type="http://schemas.openxmlformats.org/officeDocument/2006/relationships/hyperlink" Target="http://geste.engees.eu/" TargetMode="External"/><Relationship Id="rId4" Type="http://schemas.openxmlformats.org/officeDocument/2006/relationships/settings" Target="settings.xml"/><Relationship Id="rId9" Type="http://schemas.openxmlformats.org/officeDocument/2006/relationships/hyperlink" Target="http://www.euro-vo.org/" TargetMode="External"/><Relationship Id="rId14" Type="http://schemas.openxmlformats.org/officeDocument/2006/relationships/hyperlink" Target="http://bibliome.jouy.inra.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1901</Words>
  <Characters>10461</Characters>
  <Application>Microsoft Office Word</Application>
  <DocSecurity>4</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Jannes-Ober Emmanuelle</dc:creator>
  <cp:lastModifiedBy>BUFFETEAU-HEJBLUM Annie</cp:lastModifiedBy>
  <cp:revision>2</cp:revision>
  <dcterms:created xsi:type="dcterms:W3CDTF">2015-10-22T13:23:00Z</dcterms:created>
  <dcterms:modified xsi:type="dcterms:W3CDTF">2015-10-22T13:23:00Z</dcterms:modified>
</cp:coreProperties>
</file>